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89E2" w14:textId="06591C2F" w:rsidR="00A57FFD" w:rsidRPr="00270729" w:rsidRDefault="009E7015" w:rsidP="009E7015">
      <w:pPr>
        <w:pStyle w:val="Default"/>
        <w:spacing w:afterLines="200" w:after="480" w:line="360" w:lineRule="auto"/>
        <w:rPr>
          <w:rFonts w:ascii="Arial" w:hAnsi="Arial" w:cs="Arial"/>
          <w:noProof/>
          <w:sz w:val="22"/>
          <w:szCs w:val="22"/>
        </w:rPr>
      </w:pPr>
      <w:r w:rsidRPr="00270729">
        <w:rPr>
          <w:rFonts w:ascii="Arial" w:hAnsi="Arial"/>
          <w:noProof/>
          <w:sz w:val="22"/>
        </w:rPr>
        <w:drawing>
          <wp:inline distT="0" distB="0" distL="0" distR="0" wp14:anchorId="239ADA4B" wp14:editId="010EFB8F">
            <wp:extent cx="998220" cy="998220"/>
            <wp:effectExtent l="0" t="0" r="0" b="0"/>
            <wp:docPr id="92366433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64334" name="Picture 1" descr="A blue square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p w14:paraId="6F4D7E9C" w14:textId="734CC174" w:rsidR="00FE757D" w:rsidRPr="00270729" w:rsidRDefault="00E8693D" w:rsidP="00144FF6">
      <w:pPr>
        <w:spacing w:after="200" w:line="360" w:lineRule="auto"/>
        <w:jc w:val="center"/>
        <w:rPr>
          <w:rFonts w:ascii="Arial" w:hAnsi="Arial" w:cs="Arial"/>
          <w:b/>
          <w:bCs/>
          <w:noProof/>
          <w:sz w:val="28"/>
          <w:szCs w:val="28"/>
        </w:rPr>
      </w:pPr>
      <w:r w:rsidRPr="00270729">
        <w:rPr>
          <w:rFonts w:ascii="Arial" w:hAnsi="Arial"/>
          <w:b/>
          <w:noProof/>
          <w:sz w:val="28"/>
        </w:rPr>
        <w:t>Protocole relatif aux participants à l’enquête de la phase 2 et à leurs représentants légaux</w:t>
      </w:r>
    </w:p>
    <w:p w14:paraId="36F248B5" w14:textId="39438150" w:rsidR="009E7015" w:rsidRPr="00270729" w:rsidRDefault="00A4763C" w:rsidP="00144FF6">
      <w:pPr>
        <w:spacing w:after="200" w:line="360" w:lineRule="auto"/>
        <w:jc w:val="both"/>
        <w:rPr>
          <w:rFonts w:ascii="Arial" w:hAnsi="Arial" w:cs="Arial"/>
          <w:b/>
          <w:bCs/>
          <w:noProof/>
        </w:rPr>
      </w:pPr>
      <w:r w:rsidRPr="00270729">
        <w:rPr>
          <w:rFonts w:ascii="Arial" w:hAnsi="Arial"/>
          <w:b/>
          <w:noProof/>
        </w:rPr>
        <w:t xml:space="preserve">Introduction et objet du présent Protocole relatif aux participants à l’enquête de la phase 2 et à leurs représentants légaux </w:t>
      </w:r>
    </w:p>
    <w:p w14:paraId="26048A5D" w14:textId="5463A986" w:rsidR="009D451F" w:rsidRPr="00270729" w:rsidRDefault="009E7015" w:rsidP="00A1631E">
      <w:pPr>
        <w:pStyle w:val="ListParagraph"/>
        <w:numPr>
          <w:ilvl w:val="0"/>
          <w:numId w:val="2"/>
        </w:numPr>
        <w:spacing w:after="200" w:line="360" w:lineRule="auto"/>
        <w:jc w:val="both"/>
        <w:rPr>
          <w:rFonts w:ascii="Arial" w:hAnsi="Arial" w:cs="Arial"/>
          <w:b/>
          <w:bCs/>
          <w:noProof/>
        </w:rPr>
      </w:pPr>
      <w:r w:rsidRPr="00270729">
        <w:rPr>
          <w:rFonts w:ascii="Arial" w:hAnsi="Arial"/>
          <w:noProof/>
        </w:rPr>
        <w:t>Le présent Protocole relatif aux participants à l’enquête de la phase 2 et à leurs représentants légaux (le « Protocole ») est soumis à l’ensemble des autres protocoles régissant le déroulement de l’Enquête et doit être lu conjointement avec ceux‑ci.</w:t>
      </w:r>
    </w:p>
    <w:p w14:paraId="6F27577E" w14:textId="77777777" w:rsidR="00163E65" w:rsidRPr="00270729" w:rsidRDefault="00163E65" w:rsidP="00163E65">
      <w:pPr>
        <w:pStyle w:val="ListParagraph"/>
        <w:spacing w:after="200" w:line="360" w:lineRule="auto"/>
        <w:jc w:val="both"/>
        <w:rPr>
          <w:rFonts w:ascii="Arial" w:hAnsi="Arial" w:cs="Arial"/>
          <w:b/>
          <w:bCs/>
          <w:noProof/>
        </w:rPr>
      </w:pPr>
    </w:p>
    <w:p w14:paraId="2220CC97" w14:textId="039DD74E" w:rsidR="00163E65" w:rsidRPr="00270729" w:rsidRDefault="00163E65" w:rsidP="00A1631E">
      <w:pPr>
        <w:pStyle w:val="ListParagraph"/>
        <w:numPr>
          <w:ilvl w:val="0"/>
          <w:numId w:val="2"/>
        </w:numPr>
        <w:spacing w:after="200" w:line="360" w:lineRule="auto"/>
        <w:jc w:val="both"/>
        <w:rPr>
          <w:rFonts w:ascii="Arial" w:hAnsi="Arial" w:cs="Arial"/>
          <w:b/>
          <w:bCs/>
          <w:noProof/>
        </w:rPr>
      </w:pPr>
      <w:r w:rsidRPr="00270729">
        <w:rPr>
          <w:rFonts w:ascii="Arial" w:hAnsi="Arial"/>
          <w:noProof/>
        </w:rPr>
        <w:t xml:space="preserve">Ce Protocole énonce l’approche que l’Enquête adoptera concernant les principes et les procédures qui sous‑tendent les demandes de statut de participant à l’Enquête, ainsi que la détermination de la représentation juridique pour la phase 2 et les phases ultérieures des travaux de l’Enquête. </w:t>
      </w:r>
    </w:p>
    <w:p w14:paraId="4FEB69FE" w14:textId="77777777" w:rsidR="00EB489D" w:rsidRPr="00270729" w:rsidRDefault="00EB489D" w:rsidP="00EB489D">
      <w:pPr>
        <w:pStyle w:val="ListParagraph"/>
        <w:rPr>
          <w:rFonts w:ascii="Arial" w:hAnsi="Arial" w:cs="Arial"/>
          <w:b/>
          <w:bCs/>
          <w:noProof/>
        </w:rPr>
      </w:pPr>
    </w:p>
    <w:p w14:paraId="7EBDBC3D" w14:textId="5F7440F6" w:rsidR="00EB489D" w:rsidRPr="00270729" w:rsidRDefault="00916D41" w:rsidP="00A1631E">
      <w:pPr>
        <w:pStyle w:val="ListParagraph"/>
        <w:numPr>
          <w:ilvl w:val="0"/>
          <w:numId w:val="2"/>
        </w:numPr>
        <w:spacing w:after="200" w:line="360" w:lineRule="auto"/>
        <w:jc w:val="both"/>
        <w:rPr>
          <w:rFonts w:ascii="Arial" w:hAnsi="Arial" w:cs="Arial"/>
          <w:b/>
          <w:bCs/>
          <w:noProof/>
        </w:rPr>
      </w:pPr>
      <w:r w:rsidRPr="00270729">
        <w:rPr>
          <w:rFonts w:ascii="Arial" w:hAnsi="Arial"/>
          <w:noProof/>
        </w:rPr>
        <w:t>Les procédures décrites dans ce Protocole ne visent pas à couvrir toutes les éventualités ni toutes les questions procédurales susceptibles de se présenter. Il en découle que, dans des cas exceptionnels, lorsque les intérêts de la justice et de l’équité l’exigent, l’Enquête pourra être amenée à s’écarter du présent Protocole.</w:t>
      </w:r>
    </w:p>
    <w:p w14:paraId="4B6A6FDA" w14:textId="173CE7A8" w:rsidR="0058728A" w:rsidRPr="00270729" w:rsidRDefault="0058728A" w:rsidP="00EB489D">
      <w:pPr>
        <w:spacing w:after="200" w:line="360" w:lineRule="auto"/>
        <w:jc w:val="both"/>
        <w:rPr>
          <w:rFonts w:ascii="Arial" w:hAnsi="Arial" w:cs="Arial"/>
          <w:b/>
          <w:bCs/>
          <w:noProof/>
        </w:rPr>
      </w:pPr>
      <w:r w:rsidRPr="00270729">
        <w:rPr>
          <w:rFonts w:ascii="Arial" w:hAnsi="Arial"/>
          <w:b/>
          <w:noProof/>
        </w:rPr>
        <w:t>Demandes de statut de participant à l’enquête</w:t>
      </w:r>
    </w:p>
    <w:p w14:paraId="4D51DEB4" w14:textId="06FA1B34" w:rsidR="0058728A" w:rsidRPr="00270729" w:rsidRDefault="00AD33DD" w:rsidP="0058728A">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Les paragraphes 5 à 17 du présent Protocole définissent ce qu’est un Participant à l’Enquête ainsi que les règles et procédures de l’Enquête régissant les demandes visant à être désigné comme Participant à l’Enquête. </w:t>
      </w:r>
    </w:p>
    <w:p w14:paraId="77340B4B" w14:textId="77777777" w:rsidR="005A26AB" w:rsidRPr="00270729" w:rsidRDefault="005A26AB" w:rsidP="005A26AB">
      <w:pPr>
        <w:pStyle w:val="ListParagraph"/>
        <w:spacing w:after="200" w:line="360" w:lineRule="auto"/>
        <w:jc w:val="both"/>
        <w:rPr>
          <w:rFonts w:ascii="Arial" w:hAnsi="Arial" w:cs="Arial"/>
          <w:noProof/>
        </w:rPr>
      </w:pPr>
    </w:p>
    <w:p w14:paraId="0776F916" w14:textId="77777777" w:rsidR="00F1569D" w:rsidRPr="00270729" w:rsidRDefault="0058728A" w:rsidP="0058728A">
      <w:pPr>
        <w:pStyle w:val="ListParagraph"/>
        <w:numPr>
          <w:ilvl w:val="0"/>
          <w:numId w:val="2"/>
        </w:numPr>
        <w:spacing w:after="200" w:line="360" w:lineRule="auto"/>
        <w:jc w:val="both"/>
        <w:rPr>
          <w:rFonts w:ascii="Arial" w:hAnsi="Arial" w:cs="Arial"/>
          <w:noProof/>
        </w:rPr>
      </w:pPr>
      <w:r w:rsidRPr="00270729">
        <w:rPr>
          <w:rFonts w:ascii="Arial" w:hAnsi="Arial"/>
          <w:noProof/>
        </w:rPr>
        <w:t>Un Participant à l’Enquête est une personne, une organisation ou toute autre entité qui :</w:t>
      </w:r>
    </w:p>
    <w:p w14:paraId="7A3E7CA2" w14:textId="77777777" w:rsidR="00F1569D" w:rsidRPr="00270729" w:rsidRDefault="00F1569D" w:rsidP="00F1569D">
      <w:pPr>
        <w:pStyle w:val="ListParagraph"/>
        <w:rPr>
          <w:rFonts w:ascii="Arial" w:hAnsi="Arial" w:cs="Arial"/>
          <w:noProof/>
        </w:rPr>
      </w:pPr>
    </w:p>
    <w:p w14:paraId="6B106E63" w14:textId="5FDBDDE9" w:rsidR="00F1569D" w:rsidRPr="00270729" w:rsidRDefault="0058728A" w:rsidP="00F1569D">
      <w:pPr>
        <w:pStyle w:val="ListParagraph"/>
        <w:numPr>
          <w:ilvl w:val="1"/>
          <w:numId w:val="27"/>
        </w:numPr>
        <w:spacing w:after="200" w:line="360" w:lineRule="auto"/>
        <w:jc w:val="both"/>
        <w:rPr>
          <w:rFonts w:ascii="Arial" w:hAnsi="Arial" w:cs="Arial"/>
          <w:noProof/>
        </w:rPr>
      </w:pPr>
      <w:r w:rsidRPr="00270729">
        <w:rPr>
          <w:rFonts w:ascii="Arial" w:hAnsi="Arial"/>
          <w:noProof/>
        </w:rPr>
        <w:t>a joué ou peut avoir joué un rôle direct et significatif en lien avec les questions que l’Enquête examine ; et/ou</w:t>
      </w:r>
    </w:p>
    <w:p w14:paraId="43083753" w14:textId="77777777" w:rsidR="00F1569D" w:rsidRPr="00270729" w:rsidRDefault="00F1569D" w:rsidP="00F1569D">
      <w:pPr>
        <w:pStyle w:val="ListParagraph"/>
        <w:spacing w:after="200" w:line="360" w:lineRule="auto"/>
        <w:ind w:left="1440"/>
        <w:jc w:val="both"/>
        <w:rPr>
          <w:rFonts w:ascii="Arial" w:hAnsi="Arial" w:cs="Arial"/>
          <w:noProof/>
        </w:rPr>
      </w:pPr>
    </w:p>
    <w:p w14:paraId="68083DB9" w14:textId="77777777" w:rsidR="007407F1" w:rsidRPr="00270729" w:rsidRDefault="0058728A" w:rsidP="00F1569D">
      <w:pPr>
        <w:pStyle w:val="ListParagraph"/>
        <w:numPr>
          <w:ilvl w:val="1"/>
          <w:numId w:val="27"/>
        </w:numPr>
        <w:spacing w:after="200" w:line="360" w:lineRule="auto"/>
        <w:jc w:val="both"/>
        <w:rPr>
          <w:rFonts w:ascii="Arial" w:hAnsi="Arial" w:cs="Arial"/>
          <w:noProof/>
        </w:rPr>
      </w:pPr>
      <w:r w:rsidRPr="00270729">
        <w:rPr>
          <w:rFonts w:ascii="Arial" w:hAnsi="Arial"/>
          <w:noProof/>
        </w:rPr>
        <w:t xml:space="preserve">a un intérêt significatif dans les questions que l’Enquête examine ; et/ou </w:t>
      </w:r>
    </w:p>
    <w:p w14:paraId="1F34CC75" w14:textId="77777777" w:rsidR="007407F1" w:rsidRPr="00270729" w:rsidRDefault="007407F1" w:rsidP="007407F1">
      <w:pPr>
        <w:pStyle w:val="ListParagraph"/>
        <w:rPr>
          <w:rFonts w:ascii="Arial" w:hAnsi="Arial" w:cs="Arial"/>
          <w:noProof/>
        </w:rPr>
      </w:pPr>
    </w:p>
    <w:p w14:paraId="29C7A136" w14:textId="3883BDB2" w:rsidR="0058728A" w:rsidRPr="00270729" w:rsidRDefault="0058728A" w:rsidP="00F1569D">
      <w:pPr>
        <w:pStyle w:val="ListParagraph"/>
        <w:numPr>
          <w:ilvl w:val="1"/>
          <w:numId w:val="27"/>
        </w:numPr>
        <w:spacing w:after="200" w:line="360" w:lineRule="auto"/>
        <w:jc w:val="both"/>
        <w:rPr>
          <w:rFonts w:ascii="Arial" w:hAnsi="Arial" w:cs="Arial"/>
          <w:noProof/>
        </w:rPr>
      </w:pPr>
      <w:r w:rsidRPr="00270729">
        <w:rPr>
          <w:rFonts w:ascii="Arial" w:hAnsi="Arial"/>
          <w:noProof/>
        </w:rPr>
        <w:t>a un intérêt dans l’issue de l’Enquête, ce qui peut inclure le fait d’être susceptible de faire l’objet de critiques explicites ou significatives au cours des travaux de l’Enquête, et est désigné comme tel par la Présidente / le Président.</w:t>
      </w:r>
    </w:p>
    <w:p w14:paraId="6A805DD2" w14:textId="77777777" w:rsidR="0058728A" w:rsidRPr="00270729" w:rsidRDefault="0058728A" w:rsidP="0058728A">
      <w:pPr>
        <w:pStyle w:val="ListParagraph"/>
        <w:spacing w:after="200" w:line="360" w:lineRule="auto"/>
        <w:rPr>
          <w:rFonts w:ascii="Arial" w:hAnsi="Arial" w:cs="Arial"/>
          <w:noProof/>
        </w:rPr>
      </w:pPr>
    </w:p>
    <w:p w14:paraId="599C2CE3" w14:textId="38A43EEC" w:rsidR="0058728A" w:rsidRPr="00270729" w:rsidRDefault="0058728A" w:rsidP="0058728A">
      <w:pPr>
        <w:pStyle w:val="ListParagraph"/>
        <w:numPr>
          <w:ilvl w:val="0"/>
          <w:numId w:val="2"/>
        </w:numPr>
        <w:spacing w:after="200" w:line="360" w:lineRule="auto"/>
        <w:jc w:val="both"/>
        <w:rPr>
          <w:rFonts w:ascii="Arial" w:hAnsi="Arial" w:cs="Arial"/>
          <w:noProof/>
        </w:rPr>
      </w:pPr>
      <w:r w:rsidRPr="00270729">
        <w:rPr>
          <w:rFonts w:ascii="Arial" w:hAnsi="Arial"/>
          <w:noProof/>
        </w:rPr>
        <w:t>Un Participant à l’Enquête peut bénéficier, sous réserve de la remise d’engagements de confidentialité signés tels que détaillés au paragraphe 18 ci‑dessous, de certains droits dans le cadre de l’Enquête. Ceux‑ci incluent le droit de :</w:t>
      </w:r>
    </w:p>
    <w:p w14:paraId="11AA7301" w14:textId="0E7EC20F" w:rsidR="007F6E84" w:rsidRPr="00270729" w:rsidRDefault="007F6E84" w:rsidP="00C02969">
      <w:pPr>
        <w:pStyle w:val="ListParagraph"/>
        <w:spacing w:after="200" w:line="360" w:lineRule="auto"/>
        <w:ind w:left="1440"/>
        <w:jc w:val="both"/>
        <w:rPr>
          <w:rFonts w:ascii="Arial" w:hAnsi="Arial" w:cs="Arial"/>
          <w:noProof/>
        </w:rPr>
      </w:pPr>
    </w:p>
    <w:p w14:paraId="6B3C3EDE" w14:textId="2519A7FD" w:rsidR="0058728A" w:rsidRPr="00270729" w:rsidRDefault="0072784C" w:rsidP="00C02969">
      <w:pPr>
        <w:pStyle w:val="ListParagraph"/>
        <w:numPr>
          <w:ilvl w:val="1"/>
          <w:numId w:val="25"/>
        </w:numPr>
        <w:spacing w:after="200" w:line="360" w:lineRule="auto"/>
        <w:jc w:val="both"/>
        <w:rPr>
          <w:rFonts w:ascii="Arial" w:hAnsi="Arial" w:cs="Arial"/>
          <w:noProof/>
        </w:rPr>
      </w:pPr>
      <w:r w:rsidRPr="00270729">
        <w:rPr>
          <w:rFonts w:ascii="Arial" w:hAnsi="Arial"/>
          <w:noProof/>
        </w:rPr>
        <w:t>recevoir la communication de documents, de supports et de déclarations de témoins identifiés comme pertinents par l’Enquête.</w:t>
      </w:r>
    </w:p>
    <w:p w14:paraId="0144CB4E" w14:textId="77777777" w:rsidR="0058728A" w:rsidRPr="00270729" w:rsidRDefault="0058728A" w:rsidP="00C02969">
      <w:pPr>
        <w:pStyle w:val="ListParagraph"/>
        <w:spacing w:after="200" w:line="360" w:lineRule="auto"/>
        <w:ind w:left="1440"/>
        <w:jc w:val="both"/>
        <w:rPr>
          <w:rFonts w:ascii="Arial" w:hAnsi="Arial" w:cs="Arial"/>
          <w:noProof/>
        </w:rPr>
      </w:pPr>
    </w:p>
    <w:p w14:paraId="1CC39E2F" w14:textId="77777777" w:rsidR="004D494F" w:rsidRPr="00270729" w:rsidRDefault="004D494F" w:rsidP="00C02969">
      <w:pPr>
        <w:pStyle w:val="ListParagraph"/>
        <w:numPr>
          <w:ilvl w:val="1"/>
          <w:numId w:val="25"/>
        </w:numPr>
        <w:spacing w:after="200" w:line="360" w:lineRule="auto"/>
        <w:jc w:val="both"/>
        <w:rPr>
          <w:rFonts w:ascii="Arial" w:hAnsi="Arial" w:cs="Arial"/>
          <w:noProof/>
        </w:rPr>
      </w:pPr>
      <w:r w:rsidRPr="00270729">
        <w:rPr>
          <w:rFonts w:ascii="Arial" w:hAnsi="Arial"/>
          <w:noProof/>
        </w:rPr>
        <w:t>présenter des déclarations liminaires et finales, écrites et orales.</w:t>
      </w:r>
    </w:p>
    <w:p w14:paraId="2FB0580C" w14:textId="77777777" w:rsidR="004D494F" w:rsidRPr="00270729" w:rsidRDefault="004D494F" w:rsidP="00C02969">
      <w:pPr>
        <w:pStyle w:val="ListParagraph"/>
        <w:spacing w:after="200" w:line="360" w:lineRule="auto"/>
        <w:rPr>
          <w:rFonts w:ascii="Arial" w:hAnsi="Arial" w:cs="Arial"/>
          <w:noProof/>
        </w:rPr>
      </w:pPr>
    </w:p>
    <w:p w14:paraId="07FD3142" w14:textId="1CD545C5" w:rsidR="00B87DEC" w:rsidRPr="00270729" w:rsidRDefault="008017C8" w:rsidP="00C02969">
      <w:pPr>
        <w:pStyle w:val="ListParagraph"/>
        <w:numPr>
          <w:ilvl w:val="1"/>
          <w:numId w:val="25"/>
        </w:numPr>
        <w:spacing w:after="200" w:line="360" w:lineRule="auto"/>
        <w:jc w:val="both"/>
        <w:rPr>
          <w:rFonts w:ascii="Arial" w:hAnsi="Arial" w:cs="Arial"/>
          <w:noProof/>
        </w:rPr>
      </w:pPr>
      <w:r w:rsidRPr="00270729">
        <w:rPr>
          <w:rFonts w:ascii="Arial" w:hAnsi="Arial"/>
          <w:noProof/>
        </w:rPr>
        <w:t>assister aux audiences publiques de l’Enquête.</w:t>
      </w:r>
    </w:p>
    <w:p w14:paraId="44DD9D9C" w14:textId="77777777" w:rsidR="005D67F1" w:rsidRPr="00270729" w:rsidRDefault="005D67F1" w:rsidP="00C02969">
      <w:pPr>
        <w:pStyle w:val="ListParagraph"/>
        <w:spacing w:after="200" w:line="360" w:lineRule="auto"/>
        <w:rPr>
          <w:rFonts w:ascii="Arial" w:hAnsi="Arial" w:cs="Arial"/>
          <w:noProof/>
        </w:rPr>
      </w:pPr>
    </w:p>
    <w:p w14:paraId="33A10F88" w14:textId="6A397EF5" w:rsidR="005D67F1" w:rsidRPr="00270729" w:rsidRDefault="008017C8" w:rsidP="00C02969">
      <w:pPr>
        <w:pStyle w:val="ListParagraph"/>
        <w:numPr>
          <w:ilvl w:val="1"/>
          <w:numId w:val="25"/>
        </w:numPr>
        <w:spacing w:after="200" w:line="360" w:lineRule="auto"/>
        <w:jc w:val="both"/>
        <w:rPr>
          <w:rFonts w:ascii="Arial" w:hAnsi="Arial" w:cs="Arial"/>
          <w:noProof/>
        </w:rPr>
      </w:pPr>
      <w:r w:rsidRPr="00270729">
        <w:rPr>
          <w:rFonts w:ascii="Arial" w:hAnsi="Arial"/>
          <w:noProof/>
        </w:rPr>
        <w:t>proposer des axes d’investigation ou des questions à poser aux témoins par l’intermédiaire du Conseil de l’Enquête lors des audiences publiques.</w:t>
      </w:r>
      <w:r w:rsidR="005D67F1" w:rsidRPr="00270729">
        <w:rPr>
          <w:rStyle w:val="FootnoteReference"/>
          <w:rFonts w:ascii="Arial" w:hAnsi="Arial" w:cs="Arial"/>
          <w:noProof/>
        </w:rPr>
        <w:footnoteReference w:id="1"/>
      </w:r>
    </w:p>
    <w:p w14:paraId="175766C7" w14:textId="77777777" w:rsidR="00B87DEC" w:rsidRPr="00270729" w:rsidRDefault="00B87DEC" w:rsidP="00C02969">
      <w:pPr>
        <w:pStyle w:val="ListParagraph"/>
        <w:spacing w:after="200" w:line="360" w:lineRule="auto"/>
        <w:rPr>
          <w:rFonts w:ascii="Arial" w:hAnsi="Arial" w:cs="Arial"/>
          <w:noProof/>
        </w:rPr>
      </w:pPr>
    </w:p>
    <w:p w14:paraId="4146D3A1" w14:textId="6C77CD8C" w:rsidR="000B0B55" w:rsidRPr="00270729" w:rsidRDefault="004D494F" w:rsidP="00C02969">
      <w:pPr>
        <w:pStyle w:val="ListParagraph"/>
        <w:numPr>
          <w:ilvl w:val="1"/>
          <w:numId w:val="25"/>
        </w:numPr>
        <w:spacing w:after="200" w:line="360" w:lineRule="auto"/>
        <w:jc w:val="both"/>
        <w:rPr>
          <w:rFonts w:ascii="Arial" w:hAnsi="Arial" w:cs="Arial"/>
          <w:noProof/>
        </w:rPr>
      </w:pPr>
      <w:r w:rsidRPr="00270729">
        <w:rPr>
          <w:rFonts w:ascii="Arial" w:hAnsi="Arial"/>
          <w:noProof/>
        </w:rPr>
        <w:t>demander l’autorisation de poser des questions aux témoins au cours d’une audience.</w:t>
      </w:r>
    </w:p>
    <w:p w14:paraId="55319916" w14:textId="77777777" w:rsidR="000B0B55" w:rsidRPr="00270729" w:rsidRDefault="000B0B55" w:rsidP="00C02969">
      <w:pPr>
        <w:pStyle w:val="ListParagraph"/>
        <w:spacing w:after="200" w:line="360" w:lineRule="auto"/>
        <w:rPr>
          <w:rFonts w:ascii="Arial" w:hAnsi="Arial" w:cs="Arial"/>
          <w:noProof/>
        </w:rPr>
      </w:pPr>
    </w:p>
    <w:p w14:paraId="39C19C70" w14:textId="46A951A4" w:rsidR="0058728A" w:rsidRPr="00270729" w:rsidRDefault="0058728A" w:rsidP="00211B5C">
      <w:pPr>
        <w:pStyle w:val="ListParagraph"/>
        <w:numPr>
          <w:ilvl w:val="0"/>
          <w:numId w:val="2"/>
        </w:numPr>
        <w:spacing w:after="200" w:line="360" w:lineRule="auto"/>
        <w:jc w:val="both"/>
        <w:rPr>
          <w:rFonts w:ascii="Arial" w:hAnsi="Arial" w:cs="Arial"/>
          <w:noProof/>
        </w:rPr>
      </w:pPr>
      <w:r w:rsidRPr="00270729">
        <w:rPr>
          <w:rFonts w:ascii="Arial" w:hAnsi="Arial"/>
          <w:noProof/>
        </w:rPr>
        <w:t>Il est important de noter qu’il n’est pas nécessaire d’être un Participant à l’Enquête pour fournir des documents, des informations, des déclarations de témoins ou un témoignage oral dans le cadre des travaux de l’Enquête.</w:t>
      </w:r>
    </w:p>
    <w:p w14:paraId="539B53EC" w14:textId="77777777" w:rsidR="0058728A" w:rsidRPr="00270729" w:rsidRDefault="0058728A" w:rsidP="0058728A">
      <w:pPr>
        <w:pStyle w:val="ListParagraph"/>
        <w:spacing w:after="200" w:line="360" w:lineRule="auto"/>
        <w:ind w:left="1440"/>
        <w:jc w:val="both"/>
        <w:rPr>
          <w:rFonts w:ascii="Arial" w:hAnsi="Arial" w:cs="Arial"/>
          <w:noProof/>
        </w:rPr>
      </w:pPr>
    </w:p>
    <w:p w14:paraId="53C890DA" w14:textId="715C2D31" w:rsidR="00BE79EC" w:rsidRPr="00270729" w:rsidRDefault="00600DC7" w:rsidP="00A74BC3">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Toutes les personnes souhaitant être reconnues comme Participants à l’Enquête doivent demander le statut de Participant à l’Enquête au moyen de ce formulaire. La demande doit également confirmer qu’elles consentent à être désignées ainsi. </w:t>
      </w:r>
    </w:p>
    <w:p w14:paraId="5467AAA8" w14:textId="77777777" w:rsidR="00BE79EC" w:rsidRPr="00270729" w:rsidRDefault="00BE79EC" w:rsidP="00211B5C">
      <w:pPr>
        <w:pStyle w:val="ListParagraph"/>
        <w:spacing w:after="200" w:line="360" w:lineRule="auto"/>
        <w:jc w:val="both"/>
        <w:rPr>
          <w:rFonts w:ascii="Arial" w:hAnsi="Arial" w:cs="Arial"/>
          <w:noProof/>
        </w:rPr>
      </w:pPr>
    </w:p>
    <w:p w14:paraId="62600669" w14:textId="7071B066" w:rsidR="00DB7829" w:rsidRPr="00270729" w:rsidRDefault="004536A2" w:rsidP="00A74BC3">
      <w:pPr>
        <w:pStyle w:val="ListParagraph"/>
        <w:numPr>
          <w:ilvl w:val="0"/>
          <w:numId w:val="2"/>
        </w:numPr>
        <w:spacing w:after="200" w:line="360" w:lineRule="auto"/>
        <w:jc w:val="both"/>
        <w:rPr>
          <w:rFonts w:ascii="Arial" w:hAnsi="Arial" w:cs="Arial"/>
          <w:noProof/>
        </w:rPr>
      </w:pPr>
      <w:r w:rsidRPr="00270729">
        <w:rPr>
          <w:rFonts w:ascii="Arial" w:hAnsi="Arial"/>
          <w:noProof/>
        </w:rPr>
        <w:t>Tous les demandeurs du statut de Participant à l’Enquête sont à présent invités à soumettre une demande écrite au Solicitor de l’Enquête, en exposant clairement et brièvement les motifs pour lesquels cette désignation est sollicitée. Les demandes doivent être complétées et soumises au plus tard le 8 décembre 2025 au moyen de ce formulaire et envoyées :</w:t>
      </w:r>
    </w:p>
    <w:p w14:paraId="6DD7C7E8" w14:textId="77777777" w:rsidR="00DB7829" w:rsidRPr="00270729" w:rsidRDefault="00DB7829" w:rsidP="00DB7829">
      <w:pPr>
        <w:pStyle w:val="ListParagraph"/>
        <w:spacing w:after="200" w:line="360" w:lineRule="auto"/>
        <w:jc w:val="both"/>
        <w:rPr>
          <w:rFonts w:ascii="Arial" w:hAnsi="Arial" w:cs="Arial"/>
          <w:noProof/>
        </w:rPr>
      </w:pPr>
    </w:p>
    <w:p w14:paraId="52879E0C" w14:textId="31015F26" w:rsidR="00DB7829" w:rsidRPr="00270729" w:rsidRDefault="00AC15E9" w:rsidP="00DB7829">
      <w:pPr>
        <w:pStyle w:val="ListParagraph"/>
        <w:numPr>
          <w:ilvl w:val="1"/>
          <w:numId w:val="2"/>
        </w:numPr>
        <w:spacing w:after="200" w:line="360" w:lineRule="auto"/>
        <w:jc w:val="both"/>
        <w:rPr>
          <w:rFonts w:ascii="Arial" w:hAnsi="Arial" w:cs="Arial"/>
          <w:noProof/>
        </w:rPr>
      </w:pPr>
      <w:r w:rsidRPr="00270729">
        <w:rPr>
          <w:rFonts w:ascii="Arial" w:hAnsi="Arial"/>
          <w:noProof/>
        </w:rPr>
        <w:t xml:space="preserve">par e-mail: à </w:t>
      </w:r>
      <w:hyperlink r:id="rId12" w:history="1">
        <w:r w:rsidRPr="00270729">
          <w:rPr>
            <w:rStyle w:val="Hyperlink"/>
            <w:rFonts w:ascii="Arial" w:hAnsi="Arial"/>
            <w:noProof/>
          </w:rPr>
          <w:t>Solicitor@Manston.Independent-Inquiry.uk</w:t>
        </w:r>
      </w:hyperlink>
      <w:r w:rsidRPr="00270729">
        <w:rPr>
          <w:noProof/>
        </w:rPr>
        <w:t>;</w:t>
      </w:r>
      <w:r w:rsidRPr="00270729">
        <w:rPr>
          <w:rFonts w:ascii="Arial" w:hAnsi="Arial"/>
          <w:noProof/>
        </w:rPr>
        <w:t xml:space="preserve"> ou  </w:t>
      </w:r>
    </w:p>
    <w:p w14:paraId="171BC2E7" w14:textId="77777777" w:rsidR="00DB7829" w:rsidRPr="00270729" w:rsidRDefault="00DB7829" w:rsidP="00DB7829">
      <w:pPr>
        <w:pStyle w:val="ListParagraph"/>
        <w:spacing w:after="200" w:line="360" w:lineRule="auto"/>
        <w:ind w:left="1440"/>
        <w:jc w:val="both"/>
        <w:rPr>
          <w:rFonts w:ascii="Arial" w:hAnsi="Arial" w:cs="Arial"/>
          <w:noProof/>
        </w:rPr>
      </w:pPr>
    </w:p>
    <w:p w14:paraId="21D7A9B0" w14:textId="06D5CF8E" w:rsidR="0058728A" w:rsidRPr="00270729" w:rsidRDefault="00AC15E9" w:rsidP="00DB7829">
      <w:pPr>
        <w:pStyle w:val="ListParagraph"/>
        <w:numPr>
          <w:ilvl w:val="1"/>
          <w:numId w:val="2"/>
        </w:numPr>
        <w:spacing w:after="200" w:line="360" w:lineRule="auto"/>
        <w:jc w:val="both"/>
        <w:rPr>
          <w:rFonts w:ascii="Arial" w:hAnsi="Arial" w:cs="Arial"/>
          <w:noProof/>
        </w:rPr>
      </w:pPr>
      <w:r w:rsidRPr="00270729">
        <w:rPr>
          <w:rFonts w:ascii="Arial" w:hAnsi="Arial"/>
          <w:noProof/>
        </w:rPr>
        <w:t>par courrier: à The Manston Inquiry, 100 Parliament Street, SW1A 2BQ.</w:t>
      </w:r>
    </w:p>
    <w:p w14:paraId="6995848D" w14:textId="77777777" w:rsidR="0058728A" w:rsidRPr="00270729" w:rsidRDefault="0058728A" w:rsidP="0058728A">
      <w:pPr>
        <w:pStyle w:val="ListParagraph"/>
        <w:spacing w:after="200" w:line="360" w:lineRule="auto"/>
        <w:ind w:left="1440"/>
        <w:jc w:val="both"/>
        <w:rPr>
          <w:rFonts w:ascii="Arial" w:hAnsi="Arial" w:cs="Arial"/>
          <w:noProof/>
        </w:rPr>
      </w:pPr>
    </w:p>
    <w:p w14:paraId="2C8BAC9C" w14:textId="283C693A" w:rsidR="00A96B76" w:rsidRPr="00270729" w:rsidRDefault="0058728A">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Les demandes doivent également préciser les coordonnées de leurs représentants juridiques proposés, le cas échéant. En temps utile, un Protocole relatif aux coûts et au financement de la phase 2 sera publié ; il fournira des informations sur le financement disponible pour les Participants à l’Enquête ayant droit à la prise en charge, sur fonds publics, des frais de leurs représentants juridiques. </w:t>
      </w:r>
    </w:p>
    <w:p w14:paraId="304F48DE" w14:textId="77777777" w:rsidR="00041BF7" w:rsidRPr="00270729" w:rsidRDefault="00041BF7" w:rsidP="00041BF7">
      <w:pPr>
        <w:pStyle w:val="ListParagraph"/>
        <w:spacing w:after="200" w:line="360" w:lineRule="auto"/>
        <w:jc w:val="both"/>
        <w:rPr>
          <w:rFonts w:ascii="Arial" w:hAnsi="Arial" w:cs="Arial"/>
          <w:noProof/>
        </w:rPr>
      </w:pPr>
    </w:p>
    <w:p w14:paraId="339BB618" w14:textId="3CC6F64C" w:rsidR="00E84E22" w:rsidRPr="00270729" w:rsidRDefault="00E84E22" w:rsidP="0058728A">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La Présidente / le Président conserve, à tout moment, la faculté d’inviter une personne, une organisation ou une entité à devenir Participant à l’Enquête lorsqu’il est nécessaire ou souhaitable de le faire et/ou d’accorder à une personne, une organisation ou une entité le statut de Participant à l’Enquête dans des circonstances exceptionnelles, même en l’absence d’une demande visant à obtenir ce statut. </w:t>
      </w:r>
    </w:p>
    <w:p w14:paraId="77A57E1F" w14:textId="77777777" w:rsidR="00E84E22" w:rsidRPr="00270729" w:rsidRDefault="00E84E22" w:rsidP="00041BF7">
      <w:pPr>
        <w:pStyle w:val="ListParagraph"/>
        <w:rPr>
          <w:rFonts w:ascii="Arial" w:hAnsi="Arial" w:cs="Arial"/>
          <w:noProof/>
        </w:rPr>
      </w:pPr>
    </w:p>
    <w:p w14:paraId="73EC9E0E" w14:textId="66E2CB5D" w:rsidR="0058728A" w:rsidRPr="00270729" w:rsidRDefault="0058728A" w:rsidP="0058728A">
      <w:pPr>
        <w:pStyle w:val="ListParagraph"/>
        <w:numPr>
          <w:ilvl w:val="0"/>
          <w:numId w:val="2"/>
        </w:numPr>
        <w:spacing w:after="200" w:line="360" w:lineRule="auto"/>
        <w:jc w:val="both"/>
        <w:rPr>
          <w:rFonts w:ascii="Arial" w:hAnsi="Arial" w:cs="Arial"/>
          <w:noProof/>
        </w:rPr>
      </w:pPr>
      <w:r w:rsidRPr="00270729">
        <w:rPr>
          <w:rFonts w:ascii="Arial" w:hAnsi="Arial"/>
          <w:noProof/>
        </w:rPr>
        <w:t>Les demandes de prolongation de délai seront examinées en fonction de leurs mérites et devront être adressées au Solicitor de l’Enquête en utilisant les mêmes coordonnées que celles indiquées au paragraphe 9.</w:t>
      </w:r>
    </w:p>
    <w:p w14:paraId="5778637D" w14:textId="77777777" w:rsidR="0058728A" w:rsidRPr="00270729" w:rsidRDefault="0058728A" w:rsidP="0058728A">
      <w:pPr>
        <w:pStyle w:val="ListParagraph"/>
        <w:rPr>
          <w:rFonts w:ascii="Arial" w:hAnsi="Arial" w:cs="Arial"/>
          <w:noProof/>
        </w:rPr>
      </w:pPr>
    </w:p>
    <w:p w14:paraId="408D9B89" w14:textId="77777777" w:rsidR="0058728A" w:rsidRPr="00270729" w:rsidRDefault="0058728A" w:rsidP="0058728A">
      <w:pPr>
        <w:pStyle w:val="ListParagraph"/>
        <w:numPr>
          <w:ilvl w:val="0"/>
          <w:numId w:val="2"/>
        </w:numPr>
        <w:spacing w:after="200" w:line="360" w:lineRule="auto"/>
        <w:jc w:val="both"/>
        <w:rPr>
          <w:rFonts w:ascii="Arial" w:hAnsi="Arial" w:cs="Arial"/>
          <w:noProof/>
        </w:rPr>
      </w:pPr>
      <w:r w:rsidRPr="00270729">
        <w:rPr>
          <w:noProof/>
        </w:rPr>
        <w:t>Les demandeurs ayant besoin d’aide pour présenter une demande peuvent contacter l’Enquête à l’adresse</w:t>
      </w:r>
      <w:r w:rsidRPr="00270729">
        <w:rPr>
          <w:rFonts w:ascii="Arial" w:hAnsi="Arial"/>
          <w:noProof/>
        </w:rPr>
        <w:t xml:space="preserve"> </w:t>
      </w:r>
      <w:hyperlink r:id="rId13" w:history="1">
        <w:r w:rsidRPr="00270729">
          <w:rPr>
            <w:rStyle w:val="Hyperlink"/>
            <w:rFonts w:ascii="Arial" w:hAnsi="Arial"/>
            <w:noProof/>
          </w:rPr>
          <w:t>info@manston.independent-inquiry.uk</w:t>
        </w:r>
      </w:hyperlink>
      <w:r w:rsidRPr="00270729">
        <w:rPr>
          <w:rFonts w:ascii="Arial" w:hAnsi="Arial"/>
          <w:noProof/>
        </w:rPr>
        <w:t>.</w:t>
      </w:r>
    </w:p>
    <w:p w14:paraId="1394AA8B" w14:textId="77777777" w:rsidR="0058728A" w:rsidRPr="00270729" w:rsidRDefault="0058728A" w:rsidP="0058728A">
      <w:pPr>
        <w:pStyle w:val="ListParagraph"/>
        <w:rPr>
          <w:rFonts w:ascii="Arial" w:hAnsi="Arial" w:cs="Arial"/>
          <w:noProof/>
        </w:rPr>
      </w:pPr>
    </w:p>
    <w:p w14:paraId="495F4CD2" w14:textId="1DAE47E6" w:rsidR="0058728A" w:rsidRPr="00270729" w:rsidRDefault="0058728A" w:rsidP="0058728A">
      <w:pPr>
        <w:pStyle w:val="ListParagraph"/>
        <w:numPr>
          <w:ilvl w:val="0"/>
          <w:numId w:val="2"/>
        </w:numPr>
        <w:spacing w:after="200" w:line="360" w:lineRule="auto"/>
        <w:jc w:val="both"/>
        <w:rPr>
          <w:rFonts w:ascii="Arial" w:hAnsi="Arial" w:cs="Arial"/>
          <w:noProof/>
        </w:rPr>
      </w:pPr>
      <w:r w:rsidRPr="00270729">
        <w:rPr>
          <w:rFonts w:ascii="Arial" w:hAnsi="Arial"/>
          <w:noProof/>
        </w:rPr>
        <w:t>En examinant les demandes de statut de Participant à l’Enquête, la Présidente / le Président prendra en considération les éléments énoncés au paragraphe 5 ci‑dessus, ainsi que les Termes de Référence de l’Enquête et tout autre élément pertinent, au cas par cas, pour chaque demande. Si la Présidente / le Président estime que des informations supplémentaires sont nécessaires pour l’aider dans sa décision, elle / il les sollicitera par l’intermédiaire du Solicitor de l’Enquête.</w:t>
      </w:r>
    </w:p>
    <w:p w14:paraId="5E5C998F" w14:textId="77777777" w:rsidR="00AF7832" w:rsidRPr="00270729" w:rsidRDefault="00AF7832" w:rsidP="00AF7832">
      <w:pPr>
        <w:pStyle w:val="ListParagraph"/>
        <w:rPr>
          <w:rFonts w:ascii="Arial" w:hAnsi="Arial" w:cs="Arial"/>
          <w:noProof/>
        </w:rPr>
      </w:pPr>
    </w:p>
    <w:p w14:paraId="7428B69B" w14:textId="77777777" w:rsidR="008712C2" w:rsidRPr="00270729" w:rsidRDefault="0058728A" w:rsidP="00714674">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La Présidente / le Président s’efforcera de statuer sur toutes les demandes de statut de Participant à l’Enquête aussi rapidement que possible. Une copie de la décision de la Présidente / du Président sera fournie au demandeur concerné ou à son représentant juridique, selon les besoins. </w:t>
      </w:r>
    </w:p>
    <w:p w14:paraId="58F25643" w14:textId="77777777" w:rsidR="008712C2" w:rsidRPr="00270729" w:rsidRDefault="008712C2" w:rsidP="00041BF7">
      <w:pPr>
        <w:pStyle w:val="ListParagraph"/>
        <w:rPr>
          <w:rFonts w:ascii="Arial" w:hAnsi="Arial" w:cs="Arial"/>
          <w:noProof/>
        </w:rPr>
      </w:pPr>
    </w:p>
    <w:p w14:paraId="377D2E39" w14:textId="11EB7A29" w:rsidR="0058728A" w:rsidRPr="00270729" w:rsidRDefault="0058728A" w:rsidP="00714674">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Une fois les demandes visant à devenir Participant à l’Enquête examinées ou le statut de Participant à l’Enquête accordé conformément au présent Protocole, la personne </w:t>
      </w:r>
      <w:r w:rsidRPr="00270729">
        <w:rPr>
          <w:rFonts w:ascii="Arial" w:hAnsi="Arial"/>
          <w:noProof/>
        </w:rPr>
        <w:lastRenderedPageBreak/>
        <w:t>ou l’organisation concernée sera ajoutée, sous réserve d’anonymisation conformément aux Protocoles de l’Enquête, à une liste des Participants à l’Enquête qui sera tenue à jour sur le site internet de l’Enquête.</w:t>
      </w:r>
    </w:p>
    <w:p w14:paraId="5ED97106" w14:textId="77777777" w:rsidR="00CD5D33" w:rsidRPr="00270729" w:rsidRDefault="00CD5D33" w:rsidP="00CD5D33">
      <w:pPr>
        <w:pStyle w:val="ListParagraph"/>
        <w:rPr>
          <w:rFonts w:ascii="Arial" w:hAnsi="Arial" w:cs="Arial"/>
          <w:noProof/>
        </w:rPr>
      </w:pPr>
    </w:p>
    <w:p w14:paraId="064D4EEC" w14:textId="6B25E004" w:rsidR="00CD5D33" w:rsidRPr="00270729" w:rsidRDefault="00CD5D33" w:rsidP="00714674">
      <w:pPr>
        <w:pStyle w:val="ListParagraph"/>
        <w:numPr>
          <w:ilvl w:val="0"/>
          <w:numId w:val="2"/>
        </w:numPr>
        <w:spacing w:after="200" w:line="360" w:lineRule="auto"/>
        <w:jc w:val="both"/>
        <w:rPr>
          <w:rFonts w:ascii="Arial" w:hAnsi="Arial" w:cs="Arial"/>
          <w:noProof/>
        </w:rPr>
      </w:pPr>
      <w:r w:rsidRPr="00270729">
        <w:rPr>
          <w:rFonts w:ascii="Arial" w:hAnsi="Arial"/>
          <w:noProof/>
        </w:rPr>
        <w:t>Une personne, une organisation ou une entité cessera d’être Participant à l’Enquête soit :</w:t>
      </w:r>
    </w:p>
    <w:p w14:paraId="164D60CB" w14:textId="77777777" w:rsidR="00D73B12" w:rsidRPr="00270729" w:rsidRDefault="00D73B12" w:rsidP="00D73B12">
      <w:pPr>
        <w:pStyle w:val="ListParagraph"/>
        <w:rPr>
          <w:rFonts w:ascii="Arial" w:hAnsi="Arial" w:cs="Arial"/>
          <w:noProof/>
        </w:rPr>
      </w:pPr>
    </w:p>
    <w:p w14:paraId="29936318" w14:textId="626C7B71" w:rsidR="00D73B12" w:rsidRPr="00270729" w:rsidRDefault="00D73B12" w:rsidP="00D73B12">
      <w:pPr>
        <w:pStyle w:val="ListParagraph"/>
        <w:numPr>
          <w:ilvl w:val="1"/>
          <w:numId w:val="2"/>
        </w:numPr>
        <w:spacing w:after="200" w:line="360" w:lineRule="auto"/>
        <w:jc w:val="both"/>
        <w:rPr>
          <w:rFonts w:ascii="Arial" w:hAnsi="Arial" w:cs="Arial"/>
          <w:noProof/>
        </w:rPr>
      </w:pPr>
      <w:r w:rsidRPr="00270729">
        <w:rPr>
          <w:rFonts w:ascii="Arial" w:hAnsi="Arial"/>
          <w:noProof/>
        </w:rPr>
        <w:t>à la date indiquée par écrit par la Présidente / le Président ; ou</w:t>
      </w:r>
    </w:p>
    <w:p w14:paraId="51846EF1" w14:textId="77777777" w:rsidR="0018711A" w:rsidRPr="00270729" w:rsidRDefault="0018711A" w:rsidP="0018711A">
      <w:pPr>
        <w:pStyle w:val="ListParagraph"/>
        <w:spacing w:after="200" w:line="360" w:lineRule="auto"/>
        <w:ind w:left="1440"/>
        <w:jc w:val="both"/>
        <w:rPr>
          <w:rFonts w:ascii="Arial" w:hAnsi="Arial" w:cs="Arial"/>
          <w:noProof/>
        </w:rPr>
      </w:pPr>
    </w:p>
    <w:p w14:paraId="08A87E15" w14:textId="168D9B1D" w:rsidR="00D73B12" w:rsidRPr="00270729" w:rsidRDefault="00D73B12" w:rsidP="00D73B12">
      <w:pPr>
        <w:pStyle w:val="ListParagraph"/>
        <w:numPr>
          <w:ilvl w:val="1"/>
          <w:numId w:val="2"/>
        </w:numPr>
        <w:spacing w:after="200" w:line="360" w:lineRule="auto"/>
        <w:jc w:val="both"/>
        <w:rPr>
          <w:rFonts w:ascii="Arial" w:hAnsi="Arial" w:cs="Arial"/>
          <w:noProof/>
        </w:rPr>
      </w:pPr>
      <w:r w:rsidRPr="00270729">
        <w:rPr>
          <w:rFonts w:ascii="Arial" w:hAnsi="Arial"/>
          <w:noProof/>
        </w:rPr>
        <w:t xml:space="preserve">à défaut, à la fin de l’Enquête. </w:t>
      </w:r>
    </w:p>
    <w:p w14:paraId="49D1B24D" w14:textId="7FBF542C" w:rsidR="00810830" w:rsidRPr="00270729" w:rsidRDefault="00810830" w:rsidP="00810830">
      <w:pPr>
        <w:spacing w:after="200" w:line="360" w:lineRule="auto"/>
        <w:jc w:val="both"/>
        <w:rPr>
          <w:rFonts w:ascii="Arial" w:hAnsi="Arial" w:cs="Arial"/>
          <w:b/>
          <w:bCs/>
          <w:noProof/>
        </w:rPr>
      </w:pPr>
      <w:r w:rsidRPr="00270729">
        <w:rPr>
          <w:rFonts w:ascii="Arial" w:hAnsi="Arial"/>
          <w:b/>
          <w:noProof/>
        </w:rPr>
        <w:t>Confidentialité</w:t>
      </w:r>
    </w:p>
    <w:p w14:paraId="44962078" w14:textId="41E63162" w:rsidR="00810830" w:rsidRPr="00270729" w:rsidRDefault="00810830" w:rsidP="00810830">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Comme indiqué au paragraphe 6 du présent Protocole, l’octroi du statut de Participant à l’Enquête donne à une personne ou à une organisation accès à certains documents confidentiels que l’Enquête décide de communiquer. Pour des raisons de transparence, de confiance et d’équité, les Participants à l’Enquête et leurs Représentants Juridiques Reconnus doivent donc accepter, en signant le formulaire d’engagement de confidentialité de l’Enquête, de traiter de manière confidentielle les informations contenues dans ces documents. </w:t>
      </w:r>
    </w:p>
    <w:p w14:paraId="4868C0E9" w14:textId="3DE3AE66" w:rsidR="0058728A" w:rsidRPr="00270729" w:rsidRDefault="0058728A" w:rsidP="0058728A">
      <w:pPr>
        <w:spacing w:after="200" w:line="360" w:lineRule="auto"/>
        <w:jc w:val="both"/>
        <w:rPr>
          <w:rFonts w:ascii="Arial" w:hAnsi="Arial" w:cs="Arial"/>
          <w:b/>
          <w:bCs/>
          <w:noProof/>
        </w:rPr>
      </w:pPr>
      <w:r w:rsidRPr="00270729">
        <w:rPr>
          <w:rFonts w:ascii="Arial" w:hAnsi="Arial"/>
          <w:b/>
          <w:noProof/>
        </w:rPr>
        <w:t>Désignation des Représentants Juridiques Reconnus</w:t>
      </w:r>
    </w:p>
    <w:p w14:paraId="2578E037" w14:textId="6F52690C" w:rsidR="00F61F9C" w:rsidRPr="00270729" w:rsidRDefault="00F61F9C" w:rsidP="003167CB">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La désignation du Représentant Juridique Reconnu d’un Participant à l’Enquête est distincte de la décision de désigner une personne ou une organisation comme Participant à l’Enquête. </w:t>
      </w:r>
    </w:p>
    <w:p w14:paraId="58E42EDC" w14:textId="77777777" w:rsidR="00F61F9C" w:rsidRPr="00270729" w:rsidRDefault="00F61F9C" w:rsidP="00F61F9C">
      <w:pPr>
        <w:pStyle w:val="ListParagraph"/>
        <w:spacing w:after="200" w:line="360" w:lineRule="auto"/>
        <w:jc w:val="both"/>
        <w:rPr>
          <w:rFonts w:ascii="Arial" w:hAnsi="Arial" w:cs="Arial"/>
          <w:noProof/>
        </w:rPr>
      </w:pPr>
    </w:p>
    <w:p w14:paraId="75BD7E56" w14:textId="3D08740B" w:rsidR="0058728A" w:rsidRPr="00270729" w:rsidRDefault="0058728A" w:rsidP="003167CB">
      <w:pPr>
        <w:pStyle w:val="ListParagraph"/>
        <w:numPr>
          <w:ilvl w:val="0"/>
          <w:numId w:val="2"/>
        </w:numPr>
        <w:spacing w:after="200" w:line="360" w:lineRule="auto"/>
        <w:jc w:val="both"/>
        <w:rPr>
          <w:rFonts w:ascii="Arial" w:hAnsi="Arial" w:cs="Arial"/>
          <w:noProof/>
        </w:rPr>
      </w:pPr>
      <w:r w:rsidRPr="00270729">
        <w:rPr>
          <w:rFonts w:ascii="Arial" w:hAnsi="Arial"/>
          <w:noProof/>
        </w:rPr>
        <w:t>Dans l’exécution de ses Termes de Référence, l’Enquête est consciente de la nécessité d’éviter des coûts inutiles et disproportionnés, y compris en matière de représentation juridique. Lorsque des Participants à l’Enquête indiquent, dans leur demande de statut de Participant, qu’ils ont désigné des représentants juridiques pour agir en leur nom, la Présidente / le Président décidera s’il convient de désigner officiellement ces représentants juridiques comme Représentants Juridiques Reconnus de ce Participant pour les besoins de la présente Enquête.</w:t>
      </w:r>
    </w:p>
    <w:p w14:paraId="747CB853" w14:textId="77777777" w:rsidR="00BA6D77" w:rsidRPr="00270729" w:rsidRDefault="00BA6D77" w:rsidP="00BA6D77">
      <w:pPr>
        <w:pStyle w:val="ListParagraph"/>
        <w:spacing w:after="200" w:line="360" w:lineRule="auto"/>
        <w:jc w:val="both"/>
        <w:rPr>
          <w:rFonts w:ascii="Arial" w:hAnsi="Arial" w:cs="Arial"/>
          <w:noProof/>
        </w:rPr>
      </w:pPr>
    </w:p>
    <w:p w14:paraId="0A87DDDC" w14:textId="1D52131D" w:rsidR="00E9381F" w:rsidRPr="00270729" w:rsidRDefault="00341005" w:rsidP="003167CB">
      <w:pPr>
        <w:pStyle w:val="ListParagraph"/>
        <w:numPr>
          <w:ilvl w:val="0"/>
          <w:numId w:val="2"/>
        </w:numPr>
        <w:spacing w:after="200" w:line="360" w:lineRule="auto"/>
        <w:jc w:val="both"/>
        <w:rPr>
          <w:rFonts w:ascii="Arial" w:hAnsi="Arial" w:cs="Arial"/>
          <w:noProof/>
        </w:rPr>
      </w:pPr>
      <w:r w:rsidRPr="00270729">
        <w:rPr>
          <w:rFonts w:ascii="Arial" w:hAnsi="Arial"/>
          <w:noProof/>
        </w:rPr>
        <w:t xml:space="preserve">Dans sa décision de désigner des Représentants Juridiques Reconnus, la Présidente / le Président peut tenir compte du fait que ces représentants juridiques ont été mandatés par un Participant à l’Enquête pour l’aider à préparer une déclaration de témoin ou d’autres éléments de preuve testimoniale, conformément au Protocole de </w:t>
      </w:r>
      <w:r w:rsidRPr="00270729">
        <w:rPr>
          <w:rFonts w:ascii="Arial" w:hAnsi="Arial"/>
          <w:noProof/>
        </w:rPr>
        <w:lastRenderedPageBreak/>
        <w:t xml:space="preserve">la phase 1 relatif aux témoignages de personnes détenues ou au Protocole de la phase 1 relatif aux déclarations de témoins, selon le cas. De telles instructions antérieures constitueront un élément pertinent, mais non déterminant, dans la décision de désignation prise par la Présidente / le Président. </w:t>
      </w:r>
    </w:p>
    <w:p w14:paraId="01A4A554" w14:textId="77777777" w:rsidR="0058728A" w:rsidRPr="00270729" w:rsidRDefault="0058728A" w:rsidP="0058728A">
      <w:pPr>
        <w:pStyle w:val="ListParagraph"/>
        <w:spacing w:after="200" w:line="360" w:lineRule="auto"/>
        <w:jc w:val="both"/>
        <w:rPr>
          <w:rFonts w:ascii="Arial" w:hAnsi="Arial" w:cs="Arial"/>
          <w:noProof/>
        </w:rPr>
      </w:pPr>
    </w:p>
    <w:p w14:paraId="24673333" w14:textId="126DB83A" w:rsidR="0058728A" w:rsidRPr="00270729" w:rsidRDefault="0058728A" w:rsidP="003167CB">
      <w:pPr>
        <w:pStyle w:val="ListParagraph"/>
        <w:numPr>
          <w:ilvl w:val="0"/>
          <w:numId w:val="2"/>
        </w:numPr>
        <w:spacing w:after="200" w:line="360" w:lineRule="auto"/>
        <w:jc w:val="both"/>
        <w:rPr>
          <w:rFonts w:ascii="Arial" w:hAnsi="Arial" w:cs="Arial"/>
          <w:noProof/>
        </w:rPr>
      </w:pPr>
      <w:r w:rsidRPr="00270729">
        <w:rPr>
          <w:rFonts w:ascii="Arial" w:hAnsi="Arial"/>
          <w:noProof/>
        </w:rPr>
        <w:t>Afin de réduire les coûts inutiles et disproportionnés, les personnes demandant le statut de Participant à l’Enquête et susceptibles de partager des intérêts similaires dans l’Enquête avec d’autres futurs Participants sont encouragées, dans la mesure du possible, à mandater des représentants juridiques déjà engagés par ces autres parties ayant des intérêts similaires dans les questions examinées par l’Enquête.</w:t>
      </w:r>
    </w:p>
    <w:p w14:paraId="26240166" w14:textId="77777777" w:rsidR="0058728A" w:rsidRPr="00270729" w:rsidRDefault="0058728A" w:rsidP="0058728A">
      <w:pPr>
        <w:pStyle w:val="ListParagraph"/>
        <w:spacing w:after="200" w:line="360" w:lineRule="auto"/>
        <w:jc w:val="both"/>
        <w:rPr>
          <w:rFonts w:ascii="Arial" w:hAnsi="Arial" w:cs="Arial"/>
          <w:noProof/>
        </w:rPr>
      </w:pPr>
    </w:p>
    <w:p w14:paraId="27C4F99B" w14:textId="197A598D" w:rsidR="003A263E" w:rsidRPr="00270729" w:rsidRDefault="003A263E" w:rsidP="003A263E">
      <w:pPr>
        <w:pStyle w:val="ListParagraph"/>
        <w:numPr>
          <w:ilvl w:val="0"/>
          <w:numId w:val="2"/>
        </w:numPr>
        <w:spacing w:after="240" w:line="360" w:lineRule="auto"/>
        <w:contextualSpacing w:val="0"/>
        <w:jc w:val="both"/>
        <w:rPr>
          <w:rFonts w:ascii="Arial" w:hAnsi="Arial" w:cs="Arial"/>
          <w:noProof/>
        </w:rPr>
      </w:pPr>
      <w:r w:rsidRPr="00270729">
        <w:rPr>
          <w:rFonts w:ascii="Arial" w:hAnsi="Arial"/>
          <w:noProof/>
        </w:rPr>
        <w:t>La Présidente / le Président entend suivre une procédure équivalente à la règle 7(2) des Inquiry Rules 2006 et doit ordonner que les Participants à l’Enquête soient représentés par un(e) seul(e) Représentant(e) Juridique Reconnu(e) lorsqu’elle / il estime que :</w:t>
      </w:r>
    </w:p>
    <w:p w14:paraId="4AA87E48" w14:textId="14CA6F96" w:rsidR="003A263E" w:rsidRPr="00270729" w:rsidRDefault="00AA5478" w:rsidP="003A263E">
      <w:pPr>
        <w:pStyle w:val="ListParagraph"/>
        <w:numPr>
          <w:ilvl w:val="1"/>
          <w:numId w:val="2"/>
        </w:numPr>
        <w:spacing w:after="240" w:line="360" w:lineRule="auto"/>
        <w:contextualSpacing w:val="0"/>
        <w:jc w:val="both"/>
        <w:rPr>
          <w:rFonts w:ascii="Arial" w:hAnsi="Arial" w:cs="Arial"/>
          <w:noProof/>
        </w:rPr>
      </w:pPr>
      <w:r w:rsidRPr="00270729">
        <w:rPr>
          <w:rFonts w:ascii="Arial" w:hAnsi="Arial"/>
          <w:noProof/>
        </w:rPr>
        <w:t>leurs intérêts quant à l’issue de l’Enquête sont similaires ;</w:t>
      </w:r>
    </w:p>
    <w:p w14:paraId="3D017B3B" w14:textId="469446E3" w:rsidR="003A263E" w:rsidRPr="00270729" w:rsidRDefault="00AA5478" w:rsidP="003A263E">
      <w:pPr>
        <w:pStyle w:val="ListParagraph"/>
        <w:numPr>
          <w:ilvl w:val="1"/>
          <w:numId w:val="2"/>
        </w:numPr>
        <w:spacing w:after="240" w:line="360" w:lineRule="auto"/>
        <w:contextualSpacing w:val="0"/>
        <w:jc w:val="both"/>
        <w:rPr>
          <w:rFonts w:ascii="Arial" w:hAnsi="Arial" w:cs="Arial"/>
          <w:noProof/>
        </w:rPr>
      </w:pPr>
      <w:r w:rsidRPr="00270729">
        <w:rPr>
          <w:rFonts w:ascii="Arial" w:hAnsi="Arial"/>
          <w:noProof/>
        </w:rPr>
        <w:t>les faits sur lesquels ils sont susceptibles de s’appuyer sont similaires ; et</w:t>
      </w:r>
    </w:p>
    <w:p w14:paraId="7CE14F8F" w14:textId="0D798F02" w:rsidR="003A263E" w:rsidRPr="00270729" w:rsidRDefault="00AA5478" w:rsidP="003A263E">
      <w:pPr>
        <w:pStyle w:val="ListParagraph"/>
        <w:numPr>
          <w:ilvl w:val="1"/>
          <w:numId w:val="2"/>
        </w:numPr>
        <w:spacing w:after="240" w:line="360" w:lineRule="auto"/>
        <w:contextualSpacing w:val="0"/>
        <w:jc w:val="both"/>
        <w:rPr>
          <w:rFonts w:ascii="Arial" w:hAnsi="Arial" w:cs="Arial"/>
          <w:noProof/>
        </w:rPr>
      </w:pPr>
      <w:r w:rsidRPr="00270729">
        <w:rPr>
          <w:rFonts w:ascii="Arial" w:hAnsi="Arial"/>
          <w:noProof/>
        </w:rPr>
        <w:t>il est juste et approprié qu’ils soient représentés conjointement.</w:t>
      </w:r>
    </w:p>
    <w:p w14:paraId="69C0944A" w14:textId="7AF16E52" w:rsidR="003A263E" w:rsidRPr="00270729" w:rsidRDefault="003A263E" w:rsidP="003A263E">
      <w:pPr>
        <w:pStyle w:val="ListParagraph"/>
        <w:numPr>
          <w:ilvl w:val="0"/>
          <w:numId w:val="2"/>
        </w:numPr>
        <w:spacing w:after="240" w:line="360" w:lineRule="auto"/>
        <w:contextualSpacing w:val="0"/>
        <w:jc w:val="both"/>
        <w:rPr>
          <w:rFonts w:ascii="Arial" w:hAnsi="Arial" w:cs="Arial"/>
          <w:noProof/>
        </w:rPr>
      </w:pPr>
      <w:r w:rsidRPr="00270729">
        <w:rPr>
          <w:rFonts w:ascii="Arial" w:hAnsi="Arial"/>
          <w:noProof/>
        </w:rPr>
        <w:t>La Présidente / le Président entend appliquer les critères généraux suivants lors de l’examen des demandes de financement :</w:t>
      </w:r>
    </w:p>
    <w:p w14:paraId="1C05CFA0" w14:textId="63DA00A5" w:rsidR="003A263E" w:rsidRPr="00270729" w:rsidRDefault="00AA5478" w:rsidP="003A263E">
      <w:pPr>
        <w:pStyle w:val="ListParagraph"/>
        <w:numPr>
          <w:ilvl w:val="1"/>
          <w:numId w:val="2"/>
        </w:numPr>
        <w:spacing w:after="240" w:line="360" w:lineRule="auto"/>
        <w:contextualSpacing w:val="0"/>
        <w:jc w:val="both"/>
        <w:rPr>
          <w:rFonts w:ascii="Arial" w:hAnsi="Arial" w:cs="Arial"/>
          <w:noProof/>
        </w:rPr>
      </w:pPr>
      <w:r w:rsidRPr="00270729">
        <w:rPr>
          <w:rFonts w:ascii="Arial" w:hAnsi="Arial"/>
          <w:noProof/>
        </w:rPr>
        <w:t>les ressources financières du demandeur ; et</w:t>
      </w:r>
    </w:p>
    <w:p w14:paraId="25FAE074" w14:textId="63B6325C" w:rsidR="003A263E" w:rsidRPr="00270729" w:rsidRDefault="00AA5478" w:rsidP="003A263E">
      <w:pPr>
        <w:pStyle w:val="ListParagraph"/>
        <w:numPr>
          <w:ilvl w:val="1"/>
          <w:numId w:val="2"/>
        </w:numPr>
        <w:spacing w:after="240" w:line="360" w:lineRule="auto"/>
        <w:contextualSpacing w:val="0"/>
        <w:jc w:val="both"/>
        <w:rPr>
          <w:rFonts w:ascii="Arial" w:hAnsi="Arial" w:cs="Arial"/>
          <w:noProof/>
        </w:rPr>
      </w:pPr>
      <w:r w:rsidRPr="00270729">
        <w:rPr>
          <w:rFonts w:ascii="Arial" w:hAnsi="Arial"/>
          <w:noProof/>
        </w:rPr>
        <w:t xml:space="preserve">la question de savoir si l’octroi d’un financement est dans l’intérêt public. </w:t>
      </w:r>
    </w:p>
    <w:p w14:paraId="58B7AFA3" w14:textId="7CB41BFA" w:rsidR="0058728A" w:rsidRPr="00270729" w:rsidRDefault="0058728A" w:rsidP="003167CB">
      <w:pPr>
        <w:pStyle w:val="ListParagraph"/>
        <w:numPr>
          <w:ilvl w:val="0"/>
          <w:numId w:val="2"/>
        </w:numPr>
        <w:spacing w:after="200" w:line="360" w:lineRule="auto"/>
        <w:jc w:val="both"/>
        <w:rPr>
          <w:rFonts w:ascii="Arial" w:hAnsi="Arial" w:cs="Arial"/>
          <w:noProof/>
        </w:rPr>
      </w:pPr>
      <w:r w:rsidRPr="00270729">
        <w:rPr>
          <w:rFonts w:ascii="Arial" w:hAnsi="Arial"/>
          <w:noProof/>
        </w:rPr>
        <w:t>Si la Présidente / le Président décide que les Participants à l’Enquête doivent être représentés par un(e) seul(e) représentant(e) juridique, les Participants devront s’entendre pour désigner un(e) représentant(e) juridique unique approprié(e). À défaut d’accord dans un délai raisonnable, la Présidente / le Président désignera elle‑même / lui‑même un(e) représentant(e) juridique approprié(e) pour agir en tant que Représentant(e) Juridique Reconnu(e) des Participants concernés.</w:t>
      </w:r>
    </w:p>
    <w:p w14:paraId="7E488BC0" w14:textId="6D7355C2" w:rsidR="00C11824" w:rsidRPr="00270729" w:rsidRDefault="00A651BD" w:rsidP="00144FF6">
      <w:pPr>
        <w:spacing w:after="200" w:line="360" w:lineRule="auto"/>
        <w:jc w:val="both"/>
        <w:rPr>
          <w:rFonts w:ascii="Arial" w:hAnsi="Arial" w:cs="Arial"/>
          <w:noProof/>
        </w:rPr>
      </w:pPr>
      <w:r w:rsidRPr="00270729">
        <w:rPr>
          <w:rFonts w:ascii="Arial" w:hAnsi="Arial"/>
          <w:b/>
          <w:noProof/>
        </w:rPr>
        <w:t>Publié sous l’autorité de la Présidente / du Président le 24 novembre 2025.</w:t>
      </w:r>
    </w:p>
    <w:sectPr w:rsidR="00C11824" w:rsidRPr="002707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D0EA" w14:textId="77777777" w:rsidR="0063160A" w:rsidRDefault="0063160A" w:rsidP="005D67F1">
      <w:pPr>
        <w:spacing w:after="0" w:line="240" w:lineRule="auto"/>
      </w:pPr>
      <w:r>
        <w:separator/>
      </w:r>
    </w:p>
  </w:endnote>
  <w:endnote w:type="continuationSeparator" w:id="0">
    <w:p w14:paraId="2647D54B" w14:textId="77777777" w:rsidR="0063160A" w:rsidRDefault="0063160A" w:rsidP="005D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8FF2" w14:textId="77777777" w:rsidR="0063160A" w:rsidRDefault="0063160A" w:rsidP="005D67F1">
      <w:pPr>
        <w:spacing w:after="0" w:line="240" w:lineRule="auto"/>
      </w:pPr>
      <w:r>
        <w:separator/>
      </w:r>
    </w:p>
  </w:footnote>
  <w:footnote w:type="continuationSeparator" w:id="0">
    <w:p w14:paraId="6DDA665B" w14:textId="77777777" w:rsidR="0063160A" w:rsidRDefault="0063160A" w:rsidP="005D67F1">
      <w:pPr>
        <w:spacing w:after="0" w:line="240" w:lineRule="auto"/>
      </w:pPr>
      <w:r>
        <w:continuationSeparator/>
      </w:r>
    </w:p>
  </w:footnote>
  <w:footnote w:id="1">
    <w:p w14:paraId="66A6EE55" w14:textId="465A6B1F" w:rsidR="005D67F1" w:rsidRDefault="005D67F1">
      <w:pPr>
        <w:pStyle w:val="FootnoteText"/>
      </w:pPr>
      <w:r>
        <w:rPr>
          <w:rStyle w:val="FootnoteReference"/>
        </w:rPr>
        <w:footnoteRef/>
      </w:r>
      <w:r>
        <w:t xml:space="preserve"> Il est prévu que la majorité des questions soient posées aux témoins par le Conseil de l’Enquête.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592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DA7E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E0D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34534"/>
    <w:multiLevelType w:val="hybridMultilevel"/>
    <w:tmpl w:val="21B21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F5ADE"/>
    <w:multiLevelType w:val="hybridMultilevel"/>
    <w:tmpl w:val="2EB0A3A8"/>
    <w:lvl w:ilvl="0" w:tplc="FFFFFFFF">
      <w:start w:val="1"/>
      <w:numFmt w:val="decimal"/>
      <w:lvlText w:val="%1."/>
      <w:lvlJc w:val="left"/>
      <w:pPr>
        <w:ind w:left="360" w:hanging="360"/>
      </w:pPr>
      <w:rPr>
        <w:rFonts w:hint="default"/>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E5317F"/>
    <w:multiLevelType w:val="hybridMultilevel"/>
    <w:tmpl w:val="285EE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82F33"/>
    <w:multiLevelType w:val="hybridMultilevel"/>
    <w:tmpl w:val="2EB0A3A8"/>
    <w:lvl w:ilvl="0" w:tplc="677EB9E8">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C14FB"/>
    <w:multiLevelType w:val="hybridMultilevel"/>
    <w:tmpl w:val="406E2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673959"/>
    <w:multiLevelType w:val="hybridMultilevel"/>
    <w:tmpl w:val="BA82C3D4"/>
    <w:lvl w:ilvl="0" w:tplc="485430A8">
      <w:start w:val="1"/>
      <w:numFmt w:val="decimal"/>
      <w:lvlText w:val="%1."/>
      <w:lvlJc w:val="left"/>
      <w:pPr>
        <w:ind w:left="1020" w:hanging="360"/>
      </w:pPr>
    </w:lvl>
    <w:lvl w:ilvl="1" w:tplc="1480D808">
      <w:start w:val="1"/>
      <w:numFmt w:val="decimal"/>
      <w:lvlText w:val="%2."/>
      <w:lvlJc w:val="left"/>
      <w:pPr>
        <w:ind w:left="1020" w:hanging="360"/>
      </w:pPr>
    </w:lvl>
    <w:lvl w:ilvl="2" w:tplc="557610D0">
      <w:start w:val="1"/>
      <w:numFmt w:val="decimal"/>
      <w:lvlText w:val="%3."/>
      <w:lvlJc w:val="left"/>
      <w:pPr>
        <w:ind w:left="1020" w:hanging="360"/>
      </w:pPr>
    </w:lvl>
    <w:lvl w:ilvl="3" w:tplc="4DF06E86">
      <w:start w:val="1"/>
      <w:numFmt w:val="decimal"/>
      <w:lvlText w:val="%4."/>
      <w:lvlJc w:val="left"/>
      <w:pPr>
        <w:ind w:left="1020" w:hanging="360"/>
      </w:pPr>
    </w:lvl>
    <w:lvl w:ilvl="4" w:tplc="9F96A790">
      <w:start w:val="1"/>
      <w:numFmt w:val="decimal"/>
      <w:lvlText w:val="%5."/>
      <w:lvlJc w:val="left"/>
      <w:pPr>
        <w:ind w:left="1020" w:hanging="360"/>
      </w:pPr>
    </w:lvl>
    <w:lvl w:ilvl="5" w:tplc="B7D04044">
      <w:start w:val="1"/>
      <w:numFmt w:val="decimal"/>
      <w:lvlText w:val="%6."/>
      <w:lvlJc w:val="left"/>
      <w:pPr>
        <w:ind w:left="1020" w:hanging="360"/>
      </w:pPr>
    </w:lvl>
    <w:lvl w:ilvl="6" w:tplc="BAFAC0EE">
      <w:start w:val="1"/>
      <w:numFmt w:val="decimal"/>
      <w:lvlText w:val="%7."/>
      <w:lvlJc w:val="left"/>
      <w:pPr>
        <w:ind w:left="1020" w:hanging="360"/>
      </w:pPr>
    </w:lvl>
    <w:lvl w:ilvl="7" w:tplc="F098A242">
      <w:start w:val="1"/>
      <w:numFmt w:val="decimal"/>
      <w:lvlText w:val="%8."/>
      <w:lvlJc w:val="left"/>
      <w:pPr>
        <w:ind w:left="1020" w:hanging="360"/>
      </w:pPr>
    </w:lvl>
    <w:lvl w:ilvl="8" w:tplc="68029BF0">
      <w:start w:val="1"/>
      <w:numFmt w:val="decimal"/>
      <w:lvlText w:val="%9."/>
      <w:lvlJc w:val="left"/>
      <w:pPr>
        <w:ind w:left="1020" w:hanging="360"/>
      </w:pPr>
    </w:lvl>
  </w:abstractNum>
  <w:abstractNum w:abstractNumId="9" w15:restartNumberingAfterBreak="0">
    <w:nsid w:val="1F5F43FA"/>
    <w:multiLevelType w:val="hybridMultilevel"/>
    <w:tmpl w:val="9E9C644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621E9C"/>
    <w:multiLevelType w:val="hybridMultilevel"/>
    <w:tmpl w:val="6E925DD4"/>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4D0AE9"/>
    <w:multiLevelType w:val="hybridMultilevel"/>
    <w:tmpl w:val="C23614AE"/>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3F74F3"/>
    <w:multiLevelType w:val="hybridMultilevel"/>
    <w:tmpl w:val="AF7A7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9139D2"/>
    <w:multiLevelType w:val="hybridMultilevel"/>
    <w:tmpl w:val="B612855E"/>
    <w:lvl w:ilvl="0" w:tplc="E22C39F8">
      <w:start w:val="1"/>
      <w:numFmt w:val="decimal"/>
      <w:lvlText w:val="%1."/>
      <w:lvlJc w:val="left"/>
      <w:pPr>
        <w:ind w:left="1020" w:hanging="360"/>
      </w:pPr>
    </w:lvl>
    <w:lvl w:ilvl="1" w:tplc="3EA234C4">
      <w:start w:val="1"/>
      <w:numFmt w:val="decimal"/>
      <w:lvlText w:val="%2."/>
      <w:lvlJc w:val="left"/>
      <w:pPr>
        <w:ind w:left="1020" w:hanging="360"/>
      </w:pPr>
    </w:lvl>
    <w:lvl w:ilvl="2" w:tplc="B7AE087A">
      <w:start w:val="1"/>
      <w:numFmt w:val="decimal"/>
      <w:lvlText w:val="%3."/>
      <w:lvlJc w:val="left"/>
      <w:pPr>
        <w:ind w:left="1020" w:hanging="360"/>
      </w:pPr>
    </w:lvl>
    <w:lvl w:ilvl="3" w:tplc="8B76A4D4">
      <w:start w:val="1"/>
      <w:numFmt w:val="decimal"/>
      <w:lvlText w:val="%4."/>
      <w:lvlJc w:val="left"/>
      <w:pPr>
        <w:ind w:left="1020" w:hanging="360"/>
      </w:pPr>
    </w:lvl>
    <w:lvl w:ilvl="4" w:tplc="C5945890">
      <w:start w:val="1"/>
      <w:numFmt w:val="decimal"/>
      <w:lvlText w:val="%5."/>
      <w:lvlJc w:val="left"/>
      <w:pPr>
        <w:ind w:left="1020" w:hanging="360"/>
      </w:pPr>
    </w:lvl>
    <w:lvl w:ilvl="5" w:tplc="F8A0D588">
      <w:start w:val="1"/>
      <w:numFmt w:val="decimal"/>
      <w:lvlText w:val="%6."/>
      <w:lvlJc w:val="left"/>
      <w:pPr>
        <w:ind w:left="1020" w:hanging="360"/>
      </w:pPr>
    </w:lvl>
    <w:lvl w:ilvl="6" w:tplc="7EF4E3F0">
      <w:start w:val="1"/>
      <w:numFmt w:val="decimal"/>
      <w:lvlText w:val="%7."/>
      <w:lvlJc w:val="left"/>
      <w:pPr>
        <w:ind w:left="1020" w:hanging="360"/>
      </w:pPr>
    </w:lvl>
    <w:lvl w:ilvl="7" w:tplc="173A5104">
      <w:start w:val="1"/>
      <w:numFmt w:val="decimal"/>
      <w:lvlText w:val="%8."/>
      <w:lvlJc w:val="left"/>
      <w:pPr>
        <w:ind w:left="1020" w:hanging="360"/>
      </w:pPr>
    </w:lvl>
    <w:lvl w:ilvl="8" w:tplc="8DFA2A34">
      <w:start w:val="1"/>
      <w:numFmt w:val="decimal"/>
      <w:lvlText w:val="%9."/>
      <w:lvlJc w:val="left"/>
      <w:pPr>
        <w:ind w:left="1020" w:hanging="360"/>
      </w:pPr>
    </w:lvl>
  </w:abstractNum>
  <w:abstractNum w:abstractNumId="14" w15:restartNumberingAfterBreak="0">
    <w:nsid w:val="34BC47B8"/>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512146"/>
    <w:multiLevelType w:val="hybridMultilevel"/>
    <w:tmpl w:val="A976982A"/>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25A57"/>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A6176D"/>
    <w:multiLevelType w:val="hybridMultilevel"/>
    <w:tmpl w:val="C5D04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0673AC"/>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761CCD"/>
    <w:multiLevelType w:val="hybridMultilevel"/>
    <w:tmpl w:val="2818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67737E"/>
    <w:multiLevelType w:val="hybridMultilevel"/>
    <w:tmpl w:val="D56E98C6"/>
    <w:lvl w:ilvl="0" w:tplc="8AD8E998">
      <w:start w:val="1"/>
      <w:numFmt w:val="decimal"/>
      <w:lvlText w:val="%1."/>
      <w:lvlJc w:val="left"/>
      <w:pPr>
        <w:ind w:left="1020" w:hanging="360"/>
      </w:pPr>
    </w:lvl>
    <w:lvl w:ilvl="1" w:tplc="261696EC">
      <w:start w:val="1"/>
      <w:numFmt w:val="decimal"/>
      <w:lvlText w:val="%2."/>
      <w:lvlJc w:val="left"/>
      <w:pPr>
        <w:ind w:left="1020" w:hanging="360"/>
      </w:pPr>
    </w:lvl>
    <w:lvl w:ilvl="2" w:tplc="4BF20086">
      <w:start w:val="1"/>
      <w:numFmt w:val="decimal"/>
      <w:lvlText w:val="%3."/>
      <w:lvlJc w:val="left"/>
      <w:pPr>
        <w:ind w:left="1020" w:hanging="360"/>
      </w:pPr>
    </w:lvl>
    <w:lvl w:ilvl="3" w:tplc="584A6D2A">
      <w:start w:val="1"/>
      <w:numFmt w:val="decimal"/>
      <w:lvlText w:val="%4."/>
      <w:lvlJc w:val="left"/>
      <w:pPr>
        <w:ind w:left="1020" w:hanging="360"/>
      </w:pPr>
    </w:lvl>
    <w:lvl w:ilvl="4" w:tplc="81028B3E">
      <w:start w:val="1"/>
      <w:numFmt w:val="decimal"/>
      <w:lvlText w:val="%5."/>
      <w:lvlJc w:val="left"/>
      <w:pPr>
        <w:ind w:left="1020" w:hanging="360"/>
      </w:pPr>
    </w:lvl>
    <w:lvl w:ilvl="5" w:tplc="6BB2EDEE">
      <w:start w:val="1"/>
      <w:numFmt w:val="decimal"/>
      <w:lvlText w:val="%6."/>
      <w:lvlJc w:val="left"/>
      <w:pPr>
        <w:ind w:left="1020" w:hanging="360"/>
      </w:pPr>
    </w:lvl>
    <w:lvl w:ilvl="6" w:tplc="5D60A092">
      <w:start w:val="1"/>
      <w:numFmt w:val="decimal"/>
      <w:lvlText w:val="%7."/>
      <w:lvlJc w:val="left"/>
      <w:pPr>
        <w:ind w:left="1020" w:hanging="360"/>
      </w:pPr>
    </w:lvl>
    <w:lvl w:ilvl="7" w:tplc="84F07C72">
      <w:start w:val="1"/>
      <w:numFmt w:val="decimal"/>
      <w:lvlText w:val="%8."/>
      <w:lvlJc w:val="left"/>
      <w:pPr>
        <w:ind w:left="1020" w:hanging="360"/>
      </w:pPr>
    </w:lvl>
    <w:lvl w:ilvl="8" w:tplc="8F320316">
      <w:start w:val="1"/>
      <w:numFmt w:val="decimal"/>
      <w:lvlText w:val="%9."/>
      <w:lvlJc w:val="left"/>
      <w:pPr>
        <w:ind w:left="1020" w:hanging="360"/>
      </w:pPr>
    </w:lvl>
  </w:abstractNum>
  <w:abstractNum w:abstractNumId="21" w15:restartNumberingAfterBreak="0">
    <w:nsid w:val="645B50E1"/>
    <w:multiLevelType w:val="hybridMultilevel"/>
    <w:tmpl w:val="0ED8D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37B8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A86699F"/>
    <w:multiLevelType w:val="hybridMultilevel"/>
    <w:tmpl w:val="E486AFC0"/>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AF1B7E"/>
    <w:multiLevelType w:val="hybridMultilevel"/>
    <w:tmpl w:val="D026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9718A7"/>
    <w:multiLevelType w:val="hybridMultilevel"/>
    <w:tmpl w:val="F0EE67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7C3F76"/>
    <w:multiLevelType w:val="hybridMultilevel"/>
    <w:tmpl w:val="EBD0314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814059">
    <w:abstractNumId w:val="0"/>
  </w:num>
  <w:num w:numId="2" w16cid:durableId="226763331">
    <w:abstractNumId w:val="6"/>
  </w:num>
  <w:num w:numId="3" w16cid:durableId="620037245">
    <w:abstractNumId w:val="3"/>
  </w:num>
  <w:num w:numId="4" w16cid:durableId="140706038">
    <w:abstractNumId w:val="5"/>
  </w:num>
  <w:num w:numId="5" w16cid:durableId="1352223169">
    <w:abstractNumId w:val="17"/>
  </w:num>
  <w:num w:numId="6" w16cid:durableId="1992296368">
    <w:abstractNumId w:val="12"/>
  </w:num>
  <w:num w:numId="7" w16cid:durableId="1938443839">
    <w:abstractNumId w:val="22"/>
  </w:num>
  <w:num w:numId="8" w16cid:durableId="1353066883">
    <w:abstractNumId w:val="1"/>
  </w:num>
  <w:num w:numId="9" w16cid:durableId="1010063278">
    <w:abstractNumId w:val="2"/>
  </w:num>
  <w:num w:numId="10" w16cid:durableId="1157916013">
    <w:abstractNumId w:val="11"/>
  </w:num>
  <w:num w:numId="11" w16cid:durableId="678848224">
    <w:abstractNumId w:val="21"/>
  </w:num>
  <w:num w:numId="12" w16cid:durableId="846943803">
    <w:abstractNumId w:val="15"/>
  </w:num>
  <w:num w:numId="13" w16cid:durableId="62290418">
    <w:abstractNumId w:val="7"/>
  </w:num>
  <w:num w:numId="14" w16cid:durableId="775559966">
    <w:abstractNumId w:val="4"/>
  </w:num>
  <w:num w:numId="15" w16cid:durableId="2142192452">
    <w:abstractNumId w:val="19"/>
  </w:num>
  <w:num w:numId="16" w16cid:durableId="1682050091">
    <w:abstractNumId w:val="8"/>
  </w:num>
  <w:num w:numId="17" w16cid:durableId="1769230287">
    <w:abstractNumId w:val="20"/>
  </w:num>
  <w:num w:numId="18" w16cid:durableId="140467978">
    <w:abstractNumId w:val="10"/>
  </w:num>
  <w:num w:numId="19" w16cid:durableId="345210118">
    <w:abstractNumId w:val="14"/>
  </w:num>
  <w:num w:numId="20" w16cid:durableId="1127357500">
    <w:abstractNumId w:val="13"/>
  </w:num>
  <w:num w:numId="21" w16cid:durableId="422528790">
    <w:abstractNumId w:val="9"/>
  </w:num>
  <w:num w:numId="22" w16cid:durableId="1959488368">
    <w:abstractNumId w:val="24"/>
  </w:num>
  <w:num w:numId="23" w16cid:durableId="2069299620">
    <w:abstractNumId w:val="25"/>
  </w:num>
  <w:num w:numId="24" w16cid:durableId="1189292852">
    <w:abstractNumId w:val="23"/>
  </w:num>
  <w:num w:numId="25" w16cid:durableId="32658011">
    <w:abstractNumId w:val="16"/>
  </w:num>
  <w:num w:numId="26" w16cid:durableId="1440906882">
    <w:abstractNumId w:val="18"/>
  </w:num>
  <w:num w:numId="27" w16cid:durableId="12754810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D"/>
    <w:rsid w:val="000026CC"/>
    <w:rsid w:val="00007778"/>
    <w:rsid w:val="0001045E"/>
    <w:rsid w:val="0001078C"/>
    <w:rsid w:val="00013760"/>
    <w:rsid w:val="0002424A"/>
    <w:rsid w:val="000263A7"/>
    <w:rsid w:val="000312DE"/>
    <w:rsid w:val="00032209"/>
    <w:rsid w:val="00033F01"/>
    <w:rsid w:val="00041BF7"/>
    <w:rsid w:val="00046C01"/>
    <w:rsid w:val="0004756B"/>
    <w:rsid w:val="00050909"/>
    <w:rsid w:val="00053BD0"/>
    <w:rsid w:val="00055360"/>
    <w:rsid w:val="00056D19"/>
    <w:rsid w:val="0006136F"/>
    <w:rsid w:val="00064365"/>
    <w:rsid w:val="000645F2"/>
    <w:rsid w:val="00073822"/>
    <w:rsid w:val="00073879"/>
    <w:rsid w:val="0007424B"/>
    <w:rsid w:val="0007717C"/>
    <w:rsid w:val="0008731A"/>
    <w:rsid w:val="00091633"/>
    <w:rsid w:val="00092D55"/>
    <w:rsid w:val="000A075A"/>
    <w:rsid w:val="000A2FA9"/>
    <w:rsid w:val="000A57C8"/>
    <w:rsid w:val="000B0B55"/>
    <w:rsid w:val="000B3AF5"/>
    <w:rsid w:val="000C14CF"/>
    <w:rsid w:val="000C2C60"/>
    <w:rsid w:val="000D635C"/>
    <w:rsid w:val="000D6599"/>
    <w:rsid w:val="000D7D45"/>
    <w:rsid w:val="000E02EA"/>
    <w:rsid w:val="000E50A5"/>
    <w:rsid w:val="000F3892"/>
    <w:rsid w:val="001016F7"/>
    <w:rsid w:val="0010359A"/>
    <w:rsid w:val="0010614C"/>
    <w:rsid w:val="001070FE"/>
    <w:rsid w:val="00107A68"/>
    <w:rsid w:val="001136AF"/>
    <w:rsid w:val="00120A15"/>
    <w:rsid w:val="00120D59"/>
    <w:rsid w:val="00136BB9"/>
    <w:rsid w:val="00141DE7"/>
    <w:rsid w:val="00144FF6"/>
    <w:rsid w:val="0014673B"/>
    <w:rsid w:val="0015675B"/>
    <w:rsid w:val="00161A41"/>
    <w:rsid w:val="00163E65"/>
    <w:rsid w:val="00167E35"/>
    <w:rsid w:val="00167F90"/>
    <w:rsid w:val="00173D65"/>
    <w:rsid w:val="001766B9"/>
    <w:rsid w:val="00182021"/>
    <w:rsid w:val="001846C2"/>
    <w:rsid w:val="00186B18"/>
    <w:rsid w:val="0018711A"/>
    <w:rsid w:val="001923EF"/>
    <w:rsid w:val="00192587"/>
    <w:rsid w:val="001A0F32"/>
    <w:rsid w:val="001A1766"/>
    <w:rsid w:val="001B0BD0"/>
    <w:rsid w:val="001C1C21"/>
    <w:rsid w:val="001C5C3E"/>
    <w:rsid w:val="001C65E5"/>
    <w:rsid w:val="001D0263"/>
    <w:rsid w:val="001D2136"/>
    <w:rsid w:val="001E36A0"/>
    <w:rsid w:val="001F14FE"/>
    <w:rsid w:val="001F6858"/>
    <w:rsid w:val="002007BD"/>
    <w:rsid w:val="00204E25"/>
    <w:rsid w:val="00210B8C"/>
    <w:rsid w:val="0021144D"/>
    <w:rsid w:val="00211B5C"/>
    <w:rsid w:val="00217482"/>
    <w:rsid w:val="00221B3F"/>
    <w:rsid w:val="00226369"/>
    <w:rsid w:val="00232389"/>
    <w:rsid w:val="00237210"/>
    <w:rsid w:val="0024015C"/>
    <w:rsid w:val="00240FA4"/>
    <w:rsid w:val="002432E5"/>
    <w:rsid w:val="00254B58"/>
    <w:rsid w:val="002623D0"/>
    <w:rsid w:val="00265708"/>
    <w:rsid w:val="00270729"/>
    <w:rsid w:val="002732E1"/>
    <w:rsid w:val="00277497"/>
    <w:rsid w:val="002826D9"/>
    <w:rsid w:val="002949C0"/>
    <w:rsid w:val="002A024F"/>
    <w:rsid w:val="002A4B2F"/>
    <w:rsid w:val="002A50FA"/>
    <w:rsid w:val="002B392A"/>
    <w:rsid w:val="002B39DC"/>
    <w:rsid w:val="002B6E80"/>
    <w:rsid w:val="002C00B7"/>
    <w:rsid w:val="002C0947"/>
    <w:rsid w:val="002C1244"/>
    <w:rsid w:val="002C18E3"/>
    <w:rsid w:val="002C301C"/>
    <w:rsid w:val="002D5196"/>
    <w:rsid w:val="002E1B2A"/>
    <w:rsid w:val="002E7458"/>
    <w:rsid w:val="002E7DE6"/>
    <w:rsid w:val="00305F80"/>
    <w:rsid w:val="003115E0"/>
    <w:rsid w:val="003128A9"/>
    <w:rsid w:val="003167CB"/>
    <w:rsid w:val="00320A2A"/>
    <w:rsid w:val="00321BDD"/>
    <w:rsid w:val="00321E18"/>
    <w:rsid w:val="00324CB4"/>
    <w:rsid w:val="00325166"/>
    <w:rsid w:val="003276C3"/>
    <w:rsid w:val="0032786C"/>
    <w:rsid w:val="00331A11"/>
    <w:rsid w:val="00341005"/>
    <w:rsid w:val="003505E7"/>
    <w:rsid w:val="00352E3B"/>
    <w:rsid w:val="00356DA6"/>
    <w:rsid w:val="00357279"/>
    <w:rsid w:val="0037158A"/>
    <w:rsid w:val="0037212F"/>
    <w:rsid w:val="0037422C"/>
    <w:rsid w:val="00375AF3"/>
    <w:rsid w:val="00394702"/>
    <w:rsid w:val="003A263E"/>
    <w:rsid w:val="003A3B6D"/>
    <w:rsid w:val="003A55DD"/>
    <w:rsid w:val="003B4514"/>
    <w:rsid w:val="003C633D"/>
    <w:rsid w:val="003D3772"/>
    <w:rsid w:val="003D48B3"/>
    <w:rsid w:val="003D73E6"/>
    <w:rsid w:val="003D7B1B"/>
    <w:rsid w:val="003E0926"/>
    <w:rsid w:val="003E1F5F"/>
    <w:rsid w:val="003E2AEA"/>
    <w:rsid w:val="003F1A6C"/>
    <w:rsid w:val="003F50A3"/>
    <w:rsid w:val="003F5724"/>
    <w:rsid w:val="003F5879"/>
    <w:rsid w:val="003F5C02"/>
    <w:rsid w:val="003F7935"/>
    <w:rsid w:val="003F7D2D"/>
    <w:rsid w:val="004074A2"/>
    <w:rsid w:val="00410BD5"/>
    <w:rsid w:val="00415B17"/>
    <w:rsid w:val="00416A60"/>
    <w:rsid w:val="00416E28"/>
    <w:rsid w:val="00421E1B"/>
    <w:rsid w:val="004377CE"/>
    <w:rsid w:val="004441A6"/>
    <w:rsid w:val="0044449C"/>
    <w:rsid w:val="004455B6"/>
    <w:rsid w:val="0045287E"/>
    <w:rsid w:val="004536A2"/>
    <w:rsid w:val="00454769"/>
    <w:rsid w:val="00464E24"/>
    <w:rsid w:val="00471477"/>
    <w:rsid w:val="004755BE"/>
    <w:rsid w:val="00475699"/>
    <w:rsid w:val="00480775"/>
    <w:rsid w:val="0048439F"/>
    <w:rsid w:val="00490500"/>
    <w:rsid w:val="00497823"/>
    <w:rsid w:val="004A447F"/>
    <w:rsid w:val="004B03DE"/>
    <w:rsid w:val="004B07D5"/>
    <w:rsid w:val="004B09AE"/>
    <w:rsid w:val="004C2242"/>
    <w:rsid w:val="004C6AFB"/>
    <w:rsid w:val="004C7279"/>
    <w:rsid w:val="004D08DC"/>
    <w:rsid w:val="004D1995"/>
    <w:rsid w:val="004D494F"/>
    <w:rsid w:val="004E1F92"/>
    <w:rsid w:val="004E3B82"/>
    <w:rsid w:val="004F7C65"/>
    <w:rsid w:val="0050117C"/>
    <w:rsid w:val="0050652B"/>
    <w:rsid w:val="00510861"/>
    <w:rsid w:val="0051521E"/>
    <w:rsid w:val="005417D4"/>
    <w:rsid w:val="00552A28"/>
    <w:rsid w:val="00553229"/>
    <w:rsid w:val="00556D1C"/>
    <w:rsid w:val="005579B8"/>
    <w:rsid w:val="0056270F"/>
    <w:rsid w:val="005656DD"/>
    <w:rsid w:val="00566C63"/>
    <w:rsid w:val="005862B4"/>
    <w:rsid w:val="0058728A"/>
    <w:rsid w:val="00595B98"/>
    <w:rsid w:val="005A0377"/>
    <w:rsid w:val="005A1FC2"/>
    <w:rsid w:val="005A26AB"/>
    <w:rsid w:val="005A2DEE"/>
    <w:rsid w:val="005A3F74"/>
    <w:rsid w:val="005A4BEE"/>
    <w:rsid w:val="005B20C5"/>
    <w:rsid w:val="005B605E"/>
    <w:rsid w:val="005B7393"/>
    <w:rsid w:val="005C55F0"/>
    <w:rsid w:val="005D67F1"/>
    <w:rsid w:val="005F2B2E"/>
    <w:rsid w:val="005F6984"/>
    <w:rsid w:val="00600DC7"/>
    <w:rsid w:val="00600F2E"/>
    <w:rsid w:val="00606126"/>
    <w:rsid w:val="006066A5"/>
    <w:rsid w:val="00607F98"/>
    <w:rsid w:val="006130E4"/>
    <w:rsid w:val="00616C58"/>
    <w:rsid w:val="00621A05"/>
    <w:rsid w:val="0062268A"/>
    <w:rsid w:val="0062391E"/>
    <w:rsid w:val="00623ABC"/>
    <w:rsid w:val="0063160A"/>
    <w:rsid w:val="006464C1"/>
    <w:rsid w:val="0064650C"/>
    <w:rsid w:val="00651EE3"/>
    <w:rsid w:val="006522A0"/>
    <w:rsid w:val="00653AFC"/>
    <w:rsid w:val="00654266"/>
    <w:rsid w:val="0065730D"/>
    <w:rsid w:val="00660A10"/>
    <w:rsid w:val="00660C97"/>
    <w:rsid w:val="00665CA1"/>
    <w:rsid w:val="00665DC0"/>
    <w:rsid w:val="00670F94"/>
    <w:rsid w:val="00671A57"/>
    <w:rsid w:val="00674036"/>
    <w:rsid w:val="0067615F"/>
    <w:rsid w:val="00677FFB"/>
    <w:rsid w:val="006821C8"/>
    <w:rsid w:val="006862B7"/>
    <w:rsid w:val="00690069"/>
    <w:rsid w:val="00697720"/>
    <w:rsid w:val="006A1842"/>
    <w:rsid w:val="006A5776"/>
    <w:rsid w:val="006A7289"/>
    <w:rsid w:val="006B22F6"/>
    <w:rsid w:val="006C0B6F"/>
    <w:rsid w:val="006D58D3"/>
    <w:rsid w:val="006D6822"/>
    <w:rsid w:val="006E2F1D"/>
    <w:rsid w:val="006E67CC"/>
    <w:rsid w:val="006E7C54"/>
    <w:rsid w:val="006E7E56"/>
    <w:rsid w:val="007050EF"/>
    <w:rsid w:val="00714674"/>
    <w:rsid w:val="00714B9B"/>
    <w:rsid w:val="0072784C"/>
    <w:rsid w:val="007318C7"/>
    <w:rsid w:val="0073598B"/>
    <w:rsid w:val="00740205"/>
    <w:rsid w:val="007407F1"/>
    <w:rsid w:val="007420CB"/>
    <w:rsid w:val="007427B2"/>
    <w:rsid w:val="00747E59"/>
    <w:rsid w:val="00751D66"/>
    <w:rsid w:val="00753460"/>
    <w:rsid w:val="0075430D"/>
    <w:rsid w:val="00763F9A"/>
    <w:rsid w:val="00771498"/>
    <w:rsid w:val="00771838"/>
    <w:rsid w:val="00774516"/>
    <w:rsid w:val="00775459"/>
    <w:rsid w:val="007828D9"/>
    <w:rsid w:val="00783F74"/>
    <w:rsid w:val="007849E9"/>
    <w:rsid w:val="00784D38"/>
    <w:rsid w:val="007914B8"/>
    <w:rsid w:val="00793BCD"/>
    <w:rsid w:val="007A295E"/>
    <w:rsid w:val="007B4F0D"/>
    <w:rsid w:val="007C633C"/>
    <w:rsid w:val="007E1A09"/>
    <w:rsid w:val="007E2C8D"/>
    <w:rsid w:val="007E2F74"/>
    <w:rsid w:val="007F1D8C"/>
    <w:rsid w:val="007F1E73"/>
    <w:rsid w:val="007F6E84"/>
    <w:rsid w:val="008017C8"/>
    <w:rsid w:val="0081042F"/>
    <w:rsid w:val="00810830"/>
    <w:rsid w:val="008128FC"/>
    <w:rsid w:val="00814CA5"/>
    <w:rsid w:val="008157CE"/>
    <w:rsid w:val="008231C0"/>
    <w:rsid w:val="008278F6"/>
    <w:rsid w:val="00844C09"/>
    <w:rsid w:val="008512DF"/>
    <w:rsid w:val="00855249"/>
    <w:rsid w:val="00856DC8"/>
    <w:rsid w:val="00861542"/>
    <w:rsid w:val="00867A4B"/>
    <w:rsid w:val="008712C2"/>
    <w:rsid w:val="008729A6"/>
    <w:rsid w:val="00874D0A"/>
    <w:rsid w:val="008770DE"/>
    <w:rsid w:val="008C039F"/>
    <w:rsid w:val="008C19C4"/>
    <w:rsid w:val="008C5CE6"/>
    <w:rsid w:val="008C7CD2"/>
    <w:rsid w:val="008D7AE8"/>
    <w:rsid w:val="008E4F08"/>
    <w:rsid w:val="008E512E"/>
    <w:rsid w:val="008E78F9"/>
    <w:rsid w:val="008F730C"/>
    <w:rsid w:val="00900F8C"/>
    <w:rsid w:val="0091311D"/>
    <w:rsid w:val="00916D41"/>
    <w:rsid w:val="009174A8"/>
    <w:rsid w:val="00917E10"/>
    <w:rsid w:val="0092030D"/>
    <w:rsid w:val="0092196C"/>
    <w:rsid w:val="0093445B"/>
    <w:rsid w:val="009561EB"/>
    <w:rsid w:val="00960A47"/>
    <w:rsid w:val="00962B32"/>
    <w:rsid w:val="0096393D"/>
    <w:rsid w:val="0097327B"/>
    <w:rsid w:val="00980621"/>
    <w:rsid w:val="00982C00"/>
    <w:rsid w:val="00990D0B"/>
    <w:rsid w:val="0099202F"/>
    <w:rsid w:val="009A3B6F"/>
    <w:rsid w:val="009A69B7"/>
    <w:rsid w:val="009A6E4B"/>
    <w:rsid w:val="009B115C"/>
    <w:rsid w:val="009B13C1"/>
    <w:rsid w:val="009C3FBB"/>
    <w:rsid w:val="009C5F7C"/>
    <w:rsid w:val="009C63F1"/>
    <w:rsid w:val="009D29DC"/>
    <w:rsid w:val="009D451F"/>
    <w:rsid w:val="009E7015"/>
    <w:rsid w:val="009F575D"/>
    <w:rsid w:val="00A052C5"/>
    <w:rsid w:val="00A05DDD"/>
    <w:rsid w:val="00A11F5F"/>
    <w:rsid w:val="00A1586E"/>
    <w:rsid w:val="00A17015"/>
    <w:rsid w:val="00A1766B"/>
    <w:rsid w:val="00A200B7"/>
    <w:rsid w:val="00A2230F"/>
    <w:rsid w:val="00A2653F"/>
    <w:rsid w:val="00A34261"/>
    <w:rsid w:val="00A42EC0"/>
    <w:rsid w:val="00A43A98"/>
    <w:rsid w:val="00A46412"/>
    <w:rsid w:val="00A46485"/>
    <w:rsid w:val="00A4763C"/>
    <w:rsid w:val="00A57FFD"/>
    <w:rsid w:val="00A619CA"/>
    <w:rsid w:val="00A651BD"/>
    <w:rsid w:val="00A7191C"/>
    <w:rsid w:val="00A74BC3"/>
    <w:rsid w:val="00A85C9E"/>
    <w:rsid w:val="00A85FB1"/>
    <w:rsid w:val="00A91C37"/>
    <w:rsid w:val="00A924FF"/>
    <w:rsid w:val="00A96B76"/>
    <w:rsid w:val="00A9761D"/>
    <w:rsid w:val="00AA36BF"/>
    <w:rsid w:val="00AA3F0C"/>
    <w:rsid w:val="00AA5478"/>
    <w:rsid w:val="00AB0362"/>
    <w:rsid w:val="00AC108E"/>
    <w:rsid w:val="00AC15E9"/>
    <w:rsid w:val="00AC5C7E"/>
    <w:rsid w:val="00AC7959"/>
    <w:rsid w:val="00AD1ACE"/>
    <w:rsid w:val="00AD33DD"/>
    <w:rsid w:val="00AD5751"/>
    <w:rsid w:val="00AF07D3"/>
    <w:rsid w:val="00AF7832"/>
    <w:rsid w:val="00B04F83"/>
    <w:rsid w:val="00B1285F"/>
    <w:rsid w:val="00B23623"/>
    <w:rsid w:val="00B30108"/>
    <w:rsid w:val="00B312E4"/>
    <w:rsid w:val="00B4439B"/>
    <w:rsid w:val="00B54A5A"/>
    <w:rsid w:val="00B60107"/>
    <w:rsid w:val="00B60E4F"/>
    <w:rsid w:val="00B61B44"/>
    <w:rsid w:val="00B70655"/>
    <w:rsid w:val="00B7180A"/>
    <w:rsid w:val="00B77FEB"/>
    <w:rsid w:val="00B83618"/>
    <w:rsid w:val="00B84339"/>
    <w:rsid w:val="00B87DEC"/>
    <w:rsid w:val="00B97EEF"/>
    <w:rsid w:val="00BA6D77"/>
    <w:rsid w:val="00BA6ECD"/>
    <w:rsid w:val="00BC0882"/>
    <w:rsid w:val="00BE79EC"/>
    <w:rsid w:val="00BF4789"/>
    <w:rsid w:val="00BF6450"/>
    <w:rsid w:val="00BF715F"/>
    <w:rsid w:val="00C010C3"/>
    <w:rsid w:val="00C02969"/>
    <w:rsid w:val="00C040A2"/>
    <w:rsid w:val="00C07A25"/>
    <w:rsid w:val="00C11824"/>
    <w:rsid w:val="00C132CA"/>
    <w:rsid w:val="00C14C2A"/>
    <w:rsid w:val="00C24284"/>
    <w:rsid w:val="00C333D3"/>
    <w:rsid w:val="00C35F5A"/>
    <w:rsid w:val="00C378F3"/>
    <w:rsid w:val="00C43280"/>
    <w:rsid w:val="00C5396E"/>
    <w:rsid w:val="00C564C3"/>
    <w:rsid w:val="00C60EEE"/>
    <w:rsid w:val="00C7391D"/>
    <w:rsid w:val="00C73D00"/>
    <w:rsid w:val="00C82236"/>
    <w:rsid w:val="00C8387D"/>
    <w:rsid w:val="00C87CB1"/>
    <w:rsid w:val="00C921B1"/>
    <w:rsid w:val="00C9392C"/>
    <w:rsid w:val="00C94308"/>
    <w:rsid w:val="00C94CF8"/>
    <w:rsid w:val="00C95C34"/>
    <w:rsid w:val="00CA1052"/>
    <w:rsid w:val="00CA2864"/>
    <w:rsid w:val="00CA2E53"/>
    <w:rsid w:val="00CA7E48"/>
    <w:rsid w:val="00CC2681"/>
    <w:rsid w:val="00CC5FA7"/>
    <w:rsid w:val="00CC7686"/>
    <w:rsid w:val="00CD409F"/>
    <w:rsid w:val="00CD5D33"/>
    <w:rsid w:val="00CD7C66"/>
    <w:rsid w:val="00CF1F87"/>
    <w:rsid w:val="00CF5014"/>
    <w:rsid w:val="00CF6C0D"/>
    <w:rsid w:val="00CF757B"/>
    <w:rsid w:val="00D009E5"/>
    <w:rsid w:val="00D02753"/>
    <w:rsid w:val="00D03164"/>
    <w:rsid w:val="00D04BC8"/>
    <w:rsid w:val="00D105E8"/>
    <w:rsid w:val="00D10F31"/>
    <w:rsid w:val="00D11D0C"/>
    <w:rsid w:val="00D15F86"/>
    <w:rsid w:val="00D17076"/>
    <w:rsid w:val="00D23F98"/>
    <w:rsid w:val="00D33D41"/>
    <w:rsid w:val="00D34378"/>
    <w:rsid w:val="00D42F51"/>
    <w:rsid w:val="00D42FA5"/>
    <w:rsid w:val="00D43DB8"/>
    <w:rsid w:val="00D51920"/>
    <w:rsid w:val="00D51A18"/>
    <w:rsid w:val="00D51C48"/>
    <w:rsid w:val="00D568EF"/>
    <w:rsid w:val="00D57F83"/>
    <w:rsid w:val="00D73939"/>
    <w:rsid w:val="00D73B12"/>
    <w:rsid w:val="00D909FC"/>
    <w:rsid w:val="00D91043"/>
    <w:rsid w:val="00D91A89"/>
    <w:rsid w:val="00D94256"/>
    <w:rsid w:val="00DA1A8D"/>
    <w:rsid w:val="00DA6380"/>
    <w:rsid w:val="00DB10EA"/>
    <w:rsid w:val="00DB5490"/>
    <w:rsid w:val="00DB7829"/>
    <w:rsid w:val="00DC3323"/>
    <w:rsid w:val="00DC3836"/>
    <w:rsid w:val="00DC7034"/>
    <w:rsid w:val="00DE1443"/>
    <w:rsid w:val="00DE19E6"/>
    <w:rsid w:val="00DE4AF2"/>
    <w:rsid w:val="00DF328F"/>
    <w:rsid w:val="00DF32FB"/>
    <w:rsid w:val="00E00080"/>
    <w:rsid w:val="00E06EFC"/>
    <w:rsid w:val="00E21E93"/>
    <w:rsid w:val="00E240DD"/>
    <w:rsid w:val="00E25BAB"/>
    <w:rsid w:val="00E26410"/>
    <w:rsid w:val="00E3100A"/>
    <w:rsid w:val="00E34D83"/>
    <w:rsid w:val="00E40924"/>
    <w:rsid w:val="00E473E8"/>
    <w:rsid w:val="00E536EC"/>
    <w:rsid w:val="00E66DCF"/>
    <w:rsid w:val="00E71C4C"/>
    <w:rsid w:val="00E73855"/>
    <w:rsid w:val="00E752EE"/>
    <w:rsid w:val="00E77830"/>
    <w:rsid w:val="00E84E22"/>
    <w:rsid w:val="00E862D8"/>
    <w:rsid w:val="00E8693D"/>
    <w:rsid w:val="00E9381F"/>
    <w:rsid w:val="00E94A0E"/>
    <w:rsid w:val="00E97D79"/>
    <w:rsid w:val="00E97F54"/>
    <w:rsid w:val="00EA4E9B"/>
    <w:rsid w:val="00EA6067"/>
    <w:rsid w:val="00EB489D"/>
    <w:rsid w:val="00ED28FC"/>
    <w:rsid w:val="00EE3472"/>
    <w:rsid w:val="00EF7970"/>
    <w:rsid w:val="00F063ED"/>
    <w:rsid w:val="00F1569D"/>
    <w:rsid w:val="00F177A5"/>
    <w:rsid w:val="00F30C5C"/>
    <w:rsid w:val="00F3248C"/>
    <w:rsid w:val="00F338D7"/>
    <w:rsid w:val="00F367DA"/>
    <w:rsid w:val="00F37987"/>
    <w:rsid w:val="00F42341"/>
    <w:rsid w:val="00F53201"/>
    <w:rsid w:val="00F56ECF"/>
    <w:rsid w:val="00F61923"/>
    <w:rsid w:val="00F61CFE"/>
    <w:rsid w:val="00F61F9C"/>
    <w:rsid w:val="00F6740B"/>
    <w:rsid w:val="00F83573"/>
    <w:rsid w:val="00F85973"/>
    <w:rsid w:val="00F8646A"/>
    <w:rsid w:val="00F92FC3"/>
    <w:rsid w:val="00F931EB"/>
    <w:rsid w:val="00FA29DE"/>
    <w:rsid w:val="00FA3F24"/>
    <w:rsid w:val="00FB43E3"/>
    <w:rsid w:val="00FC1CD8"/>
    <w:rsid w:val="00FC4416"/>
    <w:rsid w:val="00FD0E21"/>
    <w:rsid w:val="00FD1B3F"/>
    <w:rsid w:val="00FE1949"/>
    <w:rsid w:val="00FE3036"/>
    <w:rsid w:val="00FE31BB"/>
    <w:rsid w:val="00FE3345"/>
    <w:rsid w:val="00FE667B"/>
    <w:rsid w:val="00FE757D"/>
    <w:rsid w:val="00FF7A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E75F"/>
  <w15:chartTrackingRefBased/>
  <w15:docId w15:val="{D81F6444-C2B0-43DE-9DCE-93BEBED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FFD"/>
    <w:pPr>
      <w:autoSpaceDE w:val="0"/>
      <w:autoSpaceDN w:val="0"/>
      <w:adjustRightInd w:val="0"/>
      <w:spacing w:after="0" w:line="240" w:lineRule="auto"/>
    </w:pPr>
    <w:rPr>
      <w:rFonts w:ascii="Merriweather" w:hAnsi="Merriweather" w:cs="Merriweather"/>
      <w:color w:val="000000"/>
      <w:kern w:val="0"/>
      <w:sz w:val="24"/>
      <w:szCs w:val="24"/>
    </w:rPr>
  </w:style>
  <w:style w:type="paragraph" w:styleId="NormalWeb">
    <w:name w:val="Normal (Web)"/>
    <w:basedOn w:val="Normal"/>
    <w:uiPriority w:val="99"/>
    <w:semiHidden/>
    <w:unhideWhenUsed/>
    <w:rsid w:val="00A57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57FFD"/>
    <w:pPr>
      <w:ind w:left="720"/>
      <w:contextualSpacing/>
    </w:pPr>
  </w:style>
  <w:style w:type="character" w:styleId="CommentReference">
    <w:name w:val="annotation reference"/>
    <w:basedOn w:val="DefaultParagraphFont"/>
    <w:uiPriority w:val="99"/>
    <w:semiHidden/>
    <w:unhideWhenUsed/>
    <w:rsid w:val="00A11F5F"/>
    <w:rPr>
      <w:sz w:val="16"/>
      <w:szCs w:val="16"/>
    </w:rPr>
  </w:style>
  <w:style w:type="paragraph" w:styleId="CommentText">
    <w:name w:val="annotation text"/>
    <w:basedOn w:val="Normal"/>
    <w:link w:val="CommentTextChar"/>
    <w:uiPriority w:val="99"/>
    <w:unhideWhenUsed/>
    <w:rsid w:val="00A11F5F"/>
    <w:pPr>
      <w:spacing w:line="240" w:lineRule="auto"/>
    </w:pPr>
    <w:rPr>
      <w:sz w:val="20"/>
      <w:szCs w:val="20"/>
    </w:rPr>
  </w:style>
  <w:style w:type="character" w:customStyle="1" w:styleId="CommentTextChar">
    <w:name w:val="Comment Text Char"/>
    <w:basedOn w:val="DefaultParagraphFont"/>
    <w:link w:val="CommentText"/>
    <w:uiPriority w:val="99"/>
    <w:rsid w:val="00A11F5F"/>
    <w:rPr>
      <w:sz w:val="20"/>
      <w:szCs w:val="20"/>
    </w:rPr>
  </w:style>
  <w:style w:type="paragraph" w:styleId="CommentSubject">
    <w:name w:val="annotation subject"/>
    <w:basedOn w:val="CommentText"/>
    <w:next w:val="CommentText"/>
    <w:link w:val="CommentSubjectChar"/>
    <w:uiPriority w:val="99"/>
    <w:semiHidden/>
    <w:unhideWhenUsed/>
    <w:rsid w:val="00A11F5F"/>
    <w:rPr>
      <w:b/>
      <w:bCs/>
    </w:rPr>
  </w:style>
  <w:style w:type="character" w:customStyle="1" w:styleId="CommentSubjectChar">
    <w:name w:val="Comment Subject Char"/>
    <w:basedOn w:val="CommentTextChar"/>
    <w:link w:val="CommentSubject"/>
    <w:uiPriority w:val="99"/>
    <w:semiHidden/>
    <w:rsid w:val="00A11F5F"/>
    <w:rPr>
      <w:b/>
      <w:bCs/>
      <w:sz w:val="20"/>
      <w:szCs w:val="20"/>
    </w:rPr>
  </w:style>
  <w:style w:type="character" w:styleId="Hyperlink">
    <w:name w:val="Hyperlink"/>
    <w:basedOn w:val="DefaultParagraphFont"/>
    <w:uiPriority w:val="99"/>
    <w:unhideWhenUsed/>
    <w:rsid w:val="00A11F5F"/>
    <w:rPr>
      <w:color w:val="0563C1" w:themeColor="hyperlink"/>
      <w:u w:val="single"/>
    </w:rPr>
  </w:style>
  <w:style w:type="character" w:styleId="UnresolvedMention">
    <w:name w:val="Unresolved Mention"/>
    <w:basedOn w:val="DefaultParagraphFont"/>
    <w:uiPriority w:val="99"/>
    <w:semiHidden/>
    <w:unhideWhenUsed/>
    <w:rsid w:val="00A11F5F"/>
    <w:rPr>
      <w:color w:val="605E5C"/>
      <w:shd w:val="clear" w:color="auto" w:fill="E1DFDD"/>
    </w:rPr>
  </w:style>
  <w:style w:type="paragraph" w:customStyle="1" w:styleId="paragraph">
    <w:name w:val="paragraph"/>
    <w:basedOn w:val="Normal"/>
    <w:rsid w:val="002C09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C0947"/>
  </w:style>
  <w:style w:type="character" w:customStyle="1" w:styleId="eop">
    <w:name w:val="eop"/>
    <w:basedOn w:val="DefaultParagraphFont"/>
    <w:rsid w:val="002C0947"/>
  </w:style>
  <w:style w:type="paragraph" w:styleId="Revision">
    <w:name w:val="Revision"/>
    <w:hidden/>
    <w:uiPriority w:val="99"/>
    <w:semiHidden/>
    <w:rsid w:val="00F85973"/>
    <w:pPr>
      <w:spacing w:after="0" w:line="240" w:lineRule="auto"/>
    </w:pPr>
  </w:style>
  <w:style w:type="paragraph" w:styleId="FootnoteText">
    <w:name w:val="footnote text"/>
    <w:basedOn w:val="Normal"/>
    <w:link w:val="FootnoteTextChar"/>
    <w:uiPriority w:val="99"/>
    <w:semiHidden/>
    <w:unhideWhenUsed/>
    <w:rsid w:val="005D6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7F1"/>
    <w:rPr>
      <w:sz w:val="20"/>
      <w:szCs w:val="20"/>
    </w:rPr>
  </w:style>
  <w:style w:type="character" w:styleId="FootnoteReference">
    <w:name w:val="footnote reference"/>
    <w:basedOn w:val="DefaultParagraphFont"/>
    <w:uiPriority w:val="99"/>
    <w:semiHidden/>
    <w:unhideWhenUsed/>
    <w:rsid w:val="005D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anston.independent-inquir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licitor@Manston.Independent-Inquiry.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HOworkspaceType xmlns="60b4899e-55b4-4231-8241-12d69350e134">Continuous Teamwork</HOworkspaceType>
    <HOMigrated xmlns="60b4899e-55b4-4231-8241-12d69350e134">false</HOMigrated>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TaxCatchAll xmlns="f585b9ed-9d2f-4a74-b3d4-3dc88a77965a">
      <Value>3</Value>
      <Value>2</Value>
      <Value>1</Value>
    </TaxCatchAll>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lcf76f155ced4ddcb4097134ff3c332f xmlns="4e51ef0e-d099-4d5c-9d7a-a14f238d2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69DB7D-CE36-4ACF-B502-DE63088B57C3}">
  <ds:schemaRefs>
    <ds:schemaRef ds:uri="http://schemas.openxmlformats.org/officeDocument/2006/bibliography"/>
  </ds:schemaRefs>
</ds:datastoreItem>
</file>

<file path=customXml/itemProps2.xml><?xml version="1.0" encoding="utf-8"?>
<ds:datastoreItem xmlns:ds="http://schemas.openxmlformats.org/officeDocument/2006/customXml" ds:itemID="{FFE0A300-7942-4988-814D-DD21B15E3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f585b9ed-9d2f-4a74-b3d4-3dc88a77965a"/>
    <ds:schemaRef ds:uri="4e51ef0e-d099-4d5c-9d7a-a14f238d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63C7F-2906-45FE-B40C-1F01EECEC298}">
  <ds:schemaRefs>
    <ds:schemaRef ds:uri="http://schemas.microsoft.com/sharepoint/v3/contenttype/forms"/>
  </ds:schemaRefs>
</ds:datastoreItem>
</file>

<file path=customXml/itemProps4.xml><?xml version="1.0" encoding="utf-8"?>
<ds:datastoreItem xmlns:ds="http://schemas.openxmlformats.org/officeDocument/2006/customXml" ds:itemID="{657E49DC-FB33-4B52-9186-6E4157E45A21}">
  <ds:schemaRefs>
    <ds:schemaRef ds:uri="http://schemas.microsoft.com/office/2006/metadata/properties"/>
    <ds:schemaRef ds:uri="http://schemas.microsoft.com/office/infopath/2007/PartnerControls"/>
    <ds:schemaRef ds:uri="f585b9ed-9d2f-4a74-b3d4-3dc88a77965a"/>
    <ds:schemaRef ds:uri="60b4899e-55b4-4231-8241-12d69350e134"/>
    <ds:schemaRef ds:uri="4e51ef0e-d099-4d5c-9d7a-a14f238d2c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8358</Characters>
  <Application>Microsoft Office Word</Application>
  <DocSecurity>0</DocSecurity>
  <Lines>170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Tidball, Alastair B1 (CLS-OIHL2)</dc:creator>
  <cp:keywords/>
  <dc:description/>
  <cp:lastModifiedBy>Alexander Wilson</cp:lastModifiedBy>
  <cp:revision>5</cp:revision>
  <dcterms:created xsi:type="dcterms:W3CDTF">2025-11-25T09:25:00Z</dcterms:created>
  <dcterms:modified xsi:type="dcterms:W3CDTF">2026-01-26T10:49:00Z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2025-02-23T17:36:45Z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0d6a424c-fb7e-4138-8886-03d49156868d</vt:lpwstr>
  </property>
  <property fmtid="{D5CDD505-2E9C-101B-9397-08002B2CF9AE}" pid="8" name="MSIP_Label_8e28611e-2819-430a-bdf7-3581be6cbbdd_ContentBits">
    <vt:lpwstr>0</vt:lpwstr>
  </property>
  <property fmtid="{D5CDD505-2E9C-101B-9397-08002B2CF9AE}" pid="9" name="ContentTypeId">
    <vt:lpwstr>0x010100A5BF1C78D9F64B679A5EBDE1C6598EBC0100F767ADE727325D4FAE46581793F1296F</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HOBusinessUnit">
    <vt:lpwstr>1;#Manston Inquiry (P)|11e0f66a-faad-4f9e-85e3-e42fdbb5a910</vt:lpwstr>
  </property>
  <property fmtid="{D5CDD505-2E9C-101B-9397-08002B2CF9AE}" pid="16" name="MediaServiceImageTags">
    <vt:lpwstr/>
  </property>
</Properties>
</file>